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6DF54907" w:rsidR="00F37324" w:rsidRPr="000869B3" w:rsidRDefault="00C40307" w:rsidP="00D6765F">
      <w:pPr>
        <w:pStyle w:val="Heading1"/>
        <w:spacing w:before="120"/>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00FCC223" w:rsidR="00DF029A" w:rsidRPr="00C40307" w:rsidRDefault="001B319B" w:rsidP="00865483">
                                  <w:pPr>
                                    <w:spacing w:line="264" w:lineRule="auto"/>
                                    <w:rPr>
                                      <w:rFonts w:ascii="Cambria" w:hAnsi="Cambria"/>
                                      <w:b/>
                                      <w:sz w:val="20"/>
                                      <w:szCs w:val="20"/>
                                      <w:lang w:val="es-ES"/>
                                    </w:rPr>
                                  </w:pPr>
                                  <w:r>
                                    <w:rPr>
                                      <w:rFonts w:ascii="Cambria" w:hAnsi="Cambria"/>
                                      <w:b/>
                                      <w:sz w:val="20"/>
                                      <w:szCs w:val="20"/>
                                      <w:lang w:val="es-ES"/>
                                    </w:rPr>
                                    <w:t>Abril 12</w:t>
                                  </w:r>
                                  <w:r w:rsidR="00DF029A" w:rsidRPr="00C40307">
                                    <w:rPr>
                                      <w:rFonts w:ascii="Cambria" w:hAnsi="Cambria"/>
                                      <w:b/>
                                      <w:sz w:val="20"/>
                                      <w:szCs w:val="20"/>
                                      <w:lang w:val="es-ES"/>
                                    </w:rPr>
                                    <w:t>, 20</w:t>
                                  </w:r>
                                  <w:r w:rsidR="00EB4275">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00FCC223" w:rsidR="00DF029A" w:rsidRPr="00C40307" w:rsidRDefault="001B319B" w:rsidP="00865483">
                            <w:pPr>
                              <w:spacing w:line="264" w:lineRule="auto"/>
                              <w:rPr>
                                <w:rFonts w:ascii="Cambria" w:hAnsi="Cambria"/>
                                <w:b/>
                                <w:sz w:val="20"/>
                                <w:szCs w:val="20"/>
                                <w:lang w:val="es-ES"/>
                              </w:rPr>
                            </w:pPr>
                            <w:r>
                              <w:rPr>
                                <w:rFonts w:ascii="Cambria" w:hAnsi="Cambria"/>
                                <w:b/>
                                <w:sz w:val="20"/>
                                <w:szCs w:val="20"/>
                                <w:lang w:val="es-ES"/>
                              </w:rPr>
                              <w:t>Abril 12</w:t>
                            </w:r>
                            <w:r w:rsidR="00DF029A" w:rsidRPr="00C40307">
                              <w:rPr>
                                <w:rFonts w:ascii="Cambria" w:hAnsi="Cambria"/>
                                <w:b/>
                                <w:sz w:val="20"/>
                                <w:szCs w:val="20"/>
                                <w:lang w:val="es-ES"/>
                              </w:rPr>
                              <w:t>, 20</w:t>
                            </w:r>
                            <w:r w:rsidR="00EB4275">
                              <w:rPr>
                                <w:rFonts w:ascii="Cambria" w:hAnsi="Cambria"/>
                                <w:b/>
                                <w:sz w:val="20"/>
                                <w:szCs w:val="20"/>
                                <w:lang w:val="es-ES"/>
                              </w:rPr>
                              <w:t>20</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D03090">
        <w:rPr>
          <w:rFonts w:ascii="Times New Roman" w:hAnsi="Times New Roman" w:cs="Times New Roman"/>
          <w:b/>
          <w:i/>
          <w:noProof/>
          <w:color w:val="000000" w:themeColor="text1"/>
          <w:sz w:val="56"/>
          <w:szCs w:val="56"/>
          <w:lang w:val="es-ES" w:eastAsia="en-US"/>
        </w:rPr>
        <w:t xml:space="preserve"> </w:t>
      </w:r>
      <w:r w:rsidR="00D6765F">
        <w:rPr>
          <w:rFonts w:ascii="Times New Roman" w:hAnsi="Times New Roman" w:cs="Times New Roman"/>
          <w:b/>
          <w:i/>
          <w:noProof/>
          <w:color w:val="000000" w:themeColor="text1"/>
          <w:sz w:val="56"/>
          <w:szCs w:val="56"/>
          <w:lang w:val="es-ES" w:eastAsia="en-US"/>
        </w:rPr>
        <w:t xml:space="preserve">          </w:t>
      </w:r>
      <w:r w:rsidR="00865483">
        <w:rPr>
          <w:rFonts w:ascii="Times New Roman" w:hAnsi="Times New Roman" w:cs="Times New Roman"/>
          <w:b/>
          <w:i/>
          <w:noProof/>
          <w:color w:val="000000" w:themeColor="text1"/>
          <w:sz w:val="56"/>
          <w:szCs w:val="56"/>
          <w:lang w:val="es-ES" w:eastAsia="en-US"/>
        </w:rPr>
        <w:t xml:space="preserve">         </w:t>
      </w:r>
      <w:r w:rsidR="00CB23A8">
        <w:rPr>
          <w:rFonts w:ascii="Times New Roman" w:hAnsi="Times New Roman" w:cs="Times New Roman"/>
          <w:b/>
          <w:i/>
          <w:noProof/>
          <w:color w:val="000000" w:themeColor="text1"/>
          <w:sz w:val="56"/>
          <w:szCs w:val="56"/>
          <w:lang w:val="es-ES" w:eastAsia="en-US"/>
        </w:rPr>
        <w:t>D</w:t>
      </w:r>
      <w:r w:rsidR="00995435">
        <w:rPr>
          <w:rFonts w:ascii="Times New Roman" w:hAnsi="Times New Roman" w:cs="Times New Roman"/>
          <w:b/>
          <w:i/>
          <w:noProof/>
          <w:color w:val="000000" w:themeColor="text1"/>
          <w:sz w:val="56"/>
          <w:szCs w:val="56"/>
          <w:lang w:val="es-ES" w:eastAsia="en-US"/>
        </w:rPr>
        <w:t xml:space="preserve">omingo de </w:t>
      </w:r>
      <w:r w:rsidR="001B319B">
        <w:rPr>
          <w:rFonts w:ascii="Times New Roman" w:hAnsi="Times New Roman" w:cs="Times New Roman"/>
          <w:b/>
          <w:i/>
          <w:noProof/>
          <w:color w:val="000000" w:themeColor="text1"/>
          <w:sz w:val="56"/>
          <w:szCs w:val="56"/>
          <w:lang w:val="es-ES" w:eastAsia="en-US"/>
        </w:rPr>
        <w:t>Pascua</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5891DD3C" w:rsidR="00723DEE" w:rsidRPr="006E023A" w:rsidRDefault="00452523" w:rsidP="008D45FF">
      <w:pPr>
        <w:jc w:val="center"/>
        <w:rPr>
          <w:rFonts w:ascii="Cambria" w:hAnsi="Cambria"/>
          <w:b/>
          <w:sz w:val="28"/>
          <w:szCs w:val="28"/>
          <w:lang w:val="es-ES"/>
        </w:rPr>
      </w:pPr>
      <w:r w:rsidRPr="006E023A">
        <w:rPr>
          <w:rFonts w:ascii="Cambria" w:hAnsi="Cambria"/>
          <w:b/>
          <w:sz w:val="28"/>
          <w:szCs w:val="28"/>
          <w:lang w:val="es-ES"/>
        </w:rPr>
        <w:t>Teléfono</w:t>
      </w:r>
      <w:r w:rsidR="008D45FF" w:rsidRPr="006E023A">
        <w:rPr>
          <w:rFonts w:ascii="Cambria" w:hAnsi="Cambria"/>
          <w:b/>
          <w:sz w:val="28"/>
          <w:szCs w:val="28"/>
          <w:lang w:val="es-ES"/>
        </w:rPr>
        <w:t xml:space="preserve"> 503-397-0148 • Fax 5</w:t>
      </w:r>
      <w:r w:rsidR="00101D6D" w:rsidRPr="006E023A">
        <w:rPr>
          <w:rFonts w:ascii="Cambria" w:hAnsi="Cambria"/>
          <w:b/>
          <w:sz w:val="28"/>
          <w:szCs w:val="28"/>
          <w:lang w:val="es-ES"/>
        </w:rPr>
        <w:t xml:space="preserve">03-366-3870 </w:t>
      </w:r>
      <w:r w:rsidR="00D47E5D" w:rsidRPr="006E023A">
        <w:rPr>
          <w:rFonts w:ascii="Cambria" w:hAnsi="Cambria"/>
          <w:b/>
          <w:sz w:val="28"/>
          <w:szCs w:val="28"/>
          <w:lang w:val="es-ES"/>
        </w:rPr>
        <w:t xml:space="preserve">                                                      </w:t>
      </w:r>
      <w:r w:rsidR="008E17F0" w:rsidRPr="006E023A">
        <w:rPr>
          <w:rFonts w:ascii="Cambria" w:hAnsi="Cambria"/>
          <w:b/>
          <w:sz w:val="28"/>
          <w:szCs w:val="28"/>
          <w:lang w:val="es-ES"/>
        </w:rPr>
        <w:t>stfred@comcast.net https://stfredericchurch.org</w:t>
      </w:r>
      <w:r w:rsidR="008D45FF" w:rsidRPr="006E023A">
        <w:rPr>
          <w:rFonts w:ascii="Cambria" w:hAnsi="Cambria"/>
          <w:b/>
          <w:sz w:val="28"/>
          <w:szCs w:val="28"/>
          <w:lang w:val="es-ES"/>
        </w:rPr>
        <w:t xml:space="preserve"> </w:t>
      </w:r>
      <w:r w:rsidR="0035576C" w:rsidRPr="006E023A">
        <w:rPr>
          <w:rFonts w:ascii="Cambria" w:hAnsi="Cambria"/>
          <w:b/>
          <w:sz w:val="28"/>
          <w:szCs w:val="28"/>
          <w:lang w:val="es-ES"/>
        </w:rPr>
        <w:t xml:space="preserve">                                                                              </w:t>
      </w:r>
      <w:r w:rsidR="008D45FF" w:rsidRPr="006E023A">
        <w:rPr>
          <w:rFonts w:ascii="Cambria" w:hAnsi="Cambria"/>
          <w:b/>
          <w:sz w:val="28"/>
          <w:szCs w:val="28"/>
          <w:lang w:val="es-ES"/>
        </w:rPr>
        <w:t xml:space="preserve">HORAS de </w:t>
      </w:r>
      <w:r w:rsidR="008E17F0" w:rsidRPr="006E023A">
        <w:rPr>
          <w:rFonts w:ascii="Cambria" w:hAnsi="Cambria"/>
          <w:b/>
          <w:sz w:val="28"/>
          <w:szCs w:val="28"/>
          <w:lang w:val="es-ES"/>
        </w:rPr>
        <w:t>OFICINA martes</w:t>
      </w:r>
      <w:r w:rsidR="008D45FF" w:rsidRPr="006E023A">
        <w:rPr>
          <w:rFonts w:ascii="Cambria" w:hAnsi="Cambria"/>
          <w:b/>
          <w:sz w:val="28"/>
          <w:szCs w:val="28"/>
          <w:lang w:val="es-ES"/>
        </w:rPr>
        <w:t>—</w:t>
      </w:r>
      <w:r w:rsidR="008E17F0" w:rsidRPr="006E023A">
        <w:rPr>
          <w:rFonts w:ascii="Cambria" w:hAnsi="Cambria"/>
          <w:b/>
          <w:sz w:val="28"/>
          <w:szCs w:val="28"/>
          <w:lang w:val="es-ES"/>
        </w:rPr>
        <w:t xml:space="preserve">viernes </w:t>
      </w:r>
      <w:r w:rsidR="00E5209D" w:rsidRPr="006E023A">
        <w:rPr>
          <w:rFonts w:ascii="Cambria" w:hAnsi="Cambria"/>
          <w:b/>
          <w:sz w:val="28"/>
          <w:szCs w:val="28"/>
          <w:lang w:val="es-ES"/>
        </w:rPr>
        <w:t>(</w:t>
      </w:r>
      <w:r w:rsidR="007D34E9" w:rsidRPr="006E023A">
        <w:rPr>
          <w:rFonts w:ascii="Cambria" w:hAnsi="Cambria"/>
          <w:b/>
          <w:sz w:val="28"/>
          <w:szCs w:val="28"/>
          <w:lang w:val="es-ES"/>
        </w:rPr>
        <w:t>esporádicamente</w:t>
      </w:r>
      <w:r w:rsidR="00E5209D" w:rsidRPr="006E023A">
        <w:rPr>
          <w:rFonts w:ascii="Cambria" w:hAnsi="Cambria"/>
          <w:b/>
          <w:sz w:val="28"/>
          <w:szCs w:val="28"/>
          <w:lang w:val="es-ES"/>
        </w:rPr>
        <w:t>)</w:t>
      </w:r>
    </w:p>
    <w:p w14:paraId="66633609" w14:textId="77777777" w:rsidR="001126F4" w:rsidRPr="006E023A" w:rsidRDefault="001126F4" w:rsidP="001126F4">
      <w:pPr>
        <w:spacing w:line="256" w:lineRule="auto"/>
        <w:rPr>
          <w:rFonts w:ascii="Cambria" w:eastAsia="Times New Roman" w:hAnsi="Cambria" w:cs="Times New Roman"/>
          <w:b/>
          <w:color w:val="000000"/>
          <w:sz w:val="28"/>
          <w:szCs w:val="28"/>
          <w:lang w:val="es-ES"/>
        </w:rPr>
        <w:sectPr w:rsidR="001126F4" w:rsidRPr="006E023A" w:rsidSect="0049324E">
          <w:type w:val="continuous"/>
          <w:pgSz w:w="12240" w:h="15840"/>
          <w:pgMar w:top="3312" w:right="936" w:bottom="936" w:left="936" w:header="720" w:footer="720" w:gutter="0"/>
          <w:cols w:space="720"/>
          <w:docGrid w:linePitch="360"/>
        </w:sectPr>
      </w:pPr>
    </w:p>
    <w:p w14:paraId="389410E2" w14:textId="0F967507" w:rsidR="00B578FE" w:rsidRDefault="00B578FE" w:rsidP="00B578FE">
      <w:pPr>
        <w:rPr>
          <w:lang w:val="es-ES"/>
        </w:rPr>
      </w:pPr>
      <w:r w:rsidRPr="003B505A">
        <w:rPr>
          <w:lang w:val="es-ES"/>
        </w:rPr>
        <w:t xml:space="preserve">Jesús no es visible en ninguna parte. Sin embargo, el Evangelio de hoy nos dice que Pedro y Juan "vieron y creyeron". ¿Qué vieron? Sudarios funerarios tirados en el suelo de una tumba vacía. Tal vez eso los convenció de que no había sido llevado por ladrones de tumbas, que por lo general robaban las costosas sábanas de entierro y dejaban los cadáveres atrás. Pero fíjate en la repetición de la palabra "tumba", siete veces en nueve versículos. Vieron la tumba vacía y creyeron lo que había prometido: que Dios lo criaría al tercer día. Elegidos para ser Sus "testigos", nos dice la primera lectura de hoy, los Apóstoles fueron "comisionados... para predicar . . . y testificar" todo lo que habían visto, desde Su </w:t>
      </w:r>
      <w:r w:rsidRPr="003B505A">
        <w:rPr>
          <w:lang w:val="es-ES"/>
        </w:rPr>
        <w:t xml:space="preserve">unción con el Espíritu Santo en el Jordán hasta la tumba vacía. Más que su propia experiencia, se les instruyó en los misterios de la economía divina, el plan salvador de Dios, para saber cómo "todos los profetas dan testimonio" de El (véase Lucas 24:27,44). Ahora podrían "entender la Escritura", podrían enseñarnos lo que les había dicho: que era "la Piedra que los constructores rechazaron", quien, profetiza el Salmo de hoy, resucitará y exaltará. (véase Lucas 20:17; Mateo 21:42; Hechos 4:11). Somos hijos de los testigos apostólicos. Es por eso que todavía nos reunimos temprano en la mañana en el primer día de cada semana para celebrar esta fiesta de la tumba vacía y dar gracias por "Cristo nuestra vida", </w:t>
      </w:r>
      <w:r w:rsidRPr="003B505A">
        <w:rPr>
          <w:lang w:val="es-ES"/>
        </w:rPr>
        <w:t>como lo llama la Epístola de hoy. Bautizados en Su muerte y Resurrección, vivimos la vida celestial de Cristo resucitado, nuestra vida "oculta con Cristo en Dios". Ahora también somos Sus testigos. Pero testificamos de cosas que no podemos ver, sino que sólo creemos; buscamos en las cosas terrenales lo que está por encima. Vivimos en memoria del testimonio de los Apóstoles, como ellos comiendo y bebiendo con el Señor resucitado en el altar. Y esperamos con esperanza lo que los apóstoles nos dijeron que vendría, el día en que nosotros también "apar</w:t>
      </w:r>
      <w:r>
        <w:rPr>
          <w:lang w:val="es-ES"/>
        </w:rPr>
        <w:t>eceremos con El en gloria". S</w:t>
      </w:r>
      <w:r w:rsidRPr="003B505A">
        <w:rPr>
          <w:lang w:val="es-ES"/>
        </w:rPr>
        <w:t>uyo en Cristo, el Dr. Scott Hahn Publicado</w:t>
      </w:r>
      <w:r>
        <w:rPr>
          <w:lang w:val="es-ES"/>
        </w:rPr>
        <w:t xml:space="preserve"> con</w:t>
      </w:r>
      <w:r w:rsidRPr="003B505A">
        <w:rPr>
          <w:lang w:val="es-ES"/>
        </w:rPr>
        <w:t xml:space="preserve"> permiso de stpaulcenter.com</w:t>
      </w:r>
    </w:p>
    <w:p w14:paraId="26096D43" w14:textId="77777777" w:rsidR="00865483" w:rsidRDefault="00865483" w:rsidP="00865483">
      <w:pPr>
        <w:rPr>
          <w:rFonts w:ascii="Cambria" w:hAnsi="Cambria"/>
          <w:b/>
          <w:sz w:val="20"/>
          <w:szCs w:val="20"/>
          <w:lang w:val="es-ES"/>
        </w:rPr>
      </w:pPr>
    </w:p>
    <w:p w14:paraId="1E8BF86D" w14:textId="77777777" w:rsidR="00B578FE" w:rsidRDefault="00B578FE" w:rsidP="00B578FE">
      <w:pPr>
        <w:rPr>
          <w:lang w:val="es-ES"/>
        </w:rPr>
      </w:pPr>
      <w:r w:rsidRPr="003B505A">
        <w:rPr>
          <w:lang w:val="es-ES"/>
        </w:rPr>
        <w:t xml:space="preserve">Queridos feligreses, ¡la paz esté con todos ustedes! Domingo de Pascua "La resurrección del Señor" "Este es el día que el Señor ha hecho, </w:t>
      </w:r>
      <w:r>
        <w:rPr>
          <w:lang w:val="es-ES"/>
        </w:rPr>
        <w:t>alegremosnos</w:t>
      </w:r>
      <w:r w:rsidRPr="003B505A">
        <w:rPr>
          <w:lang w:val="es-ES"/>
        </w:rPr>
        <w:t xml:space="preserve"> y regocijémonos — Alleluia." "Me he levantado, y estoy con ustedes todavía — Alleluia." "El Señor ha resucitado de verdad, Alleluia. Para él ser gloria y poder para todas las edades de la eternidad, Alleluia, Alleluia." "Que el Señor os bendiga en el Nombre del Padre, del Hijo y del Espíritu Santo. Permanezcan en la paz de Cristo, el resucitado, Alleluia, Alleluia." Tienes una Pascua maravillosa y bendita. Que Dios te bendiga, </w:t>
      </w:r>
      <w:r w:rsidRPr="00B578FE">
        <w:rPr>
          <w:b/>
          <w:lang w:val="es-ES"/>
        </w:rPr>
        <w:t>P. Nicolas Marandu</w:t>
      </w:r>
    </w:p>
    <w:p w14:paraId="2C283BD4" w14:textId="77777777" w:rsidR="00B578FE" w:rsidRDefault="00B578FE" w:rsidP="00865483">
      <w:pPr>
        <w:rPr>
          <w:rFonts w:ascii="Cambria" w:hAnsi="Cambria"/>
          <w:b/>
          <w:sz w:val="20"/>
          <w:szCs w:val="20"/>
          <w:lang w:val="es-ES"/>
        </w:rPr>
      </w:pPr>
    </w:p>
    <w:p w14:paraId="525C4B2A" w14:textId="77777777" w:rsidR="00E113EC" w:rsidRDefault="00E113EC" w:rsidP="00E113EC">
      <w:pPr>
        <w:rPr>
          <w:lang w:val="es-ES"/>
        </w:rPr>
      </w:pPr>
      <w:r w:rsidRPr="00796131">
        <w:rPr>
          <w:b/>
          <w:lang w:val="es-ES"/>
        </w:rPr>
        <w:t>Domingo de Pascua, 12 de abril</w:t>
      </w:r>
      <w:r w:rsidRPr="003B505A">
        <w:rPr>
          <w:lang w:val="es-ES"/>
        </w:rPr>
        <w:t xml:space="preserve"> Lecturas: Hechos 10:34, 37–43 Salmos 118:1–2, 16–17, 22–23 Colosenses 3:1–4 Juan 20:1–9</w:t>
      </w:r>
    </w:p>
    <w:p w14:paraId="065A542F" w14:textId="77777777" w:rsidR="00E113EC" w:rsidRDefault="00E113EC" w:rsidP="00865483">
      <w:pPr>
        <w:rPr>
          <w:rFonts w:ascii="Cambria" w:hAnsi="Cambria"/>
          <w:b/>
          <w:sz w:val="20"/>
          <w:szCs w:val="20"/>
          <w:lang w:val="es-ES"/>
        </w:rPr>
      </w:pPr>
    </w:p>
    <w:p w14:paraId="66812984" w14:textId="77777777" w:rsidR="00E113EC" w:rsidRDefault="00E113EC" w:rsidP="00E113EC">
      <w:pPr>
        <w:rPr>
          <w:lang w:val="es-ES"/>
        </w:rPr>
      </w:pPr>
      <w:r w:rsidRPr="00BC0F3B">
        <w:rPr>
          <w:b/>
          <w:lang w:val="es-ES"/>
        </w:rPr>
        <w:t>Lecturas semanales (13 de abril – 19 de abril)</w:t>
      </w:r>
      <w:r w:rsidRPr="003B505A">
        <w:rPr>
          <w:lang w:val="es-ES"/>
        </w:rPr>
        <w:t xml:space="preserve"> Lunes: Hechos 2: 14, 22-33; Salmos 16: 1-2a y 5, 7-8, 9-10, 11; Mateo 28:8-15 Martes: Hechos 2: 36-41; Salmos 33: 4-5, 18-19, 20 y 22; Juan 20:11-18 Miércoles: Hechos 3:1-10; Salmos 105: 1-2, 3-4, 6-7, 8- 9; Lucas 24:13–35 Jueves: Hechos 3:11–26; Salmos 8: 2ab y 5, 6-7, 8-9; Lucas 24: 35-48 Viernes: Hechos 4:1-12; Salmos 118: 1-2 y 4, 22-24, 25o 27a; Juan 21:1-14 Sábado: Hechos 4:13-21; Salmos 118: 1 y 14-15ab, 16-18, 19-21; Marcos 16:9-15 Domingo: Hechos 2:42–47; Salmos 118: 2,4, 1</w:t>
      </w:r>
      <w:r>
        <w:rPr>
          <w:lang w:val="es-ES"/>
        </w:rPr>
        <w:t>3,15, 22-24; Primero Pedro 1: 3-</w:t>
      </w:r>
      <w:r w:rsidRPr="003B505A">
        <w:rPr>
          <w:lang w:val="es-ES"/>
        </w:rPr>
        <w:t>9; Juan 20: 19-31</w:t>
      </w:r>
    </w:p>
    <w:p w14:paraId="6C6B2BEE" w14:textId="77777777" w:rsidR="00E113EC" w:rsidRDefault="00E113EC" w:rsidP="00865483">
      <w:pPr>
        <w:rPr>
          <w:rFonts w:ascii="Cambria" w:hAnsi="Cambria"/>
          <w:b/>
          <w:sz w:val="20"/>
          <w:szCs w:val="20"/>
          <w:lang w:val="es-ES"/>
        </w:rPr>
      </w:pPr>
    </w:p>
    <w:p w14:paraId="77B07DA3" w14:textId="77777777" w:rsidR="00CA3AD1" w:rsidRPr="0081174A" w:rsidRDefault="00CA3AD1" w:rsidP="00CA3AD1">
      <w:pPr>
        <w:rPr>
          <w:rFonts w:ascii="Palatino Linotype" w:hAnsi="Palatino Linotype"/>
          <w:b/>
          <w:i/>
          <w:lang w:val="es-ES"/>
        </w:rPr>
      </w:pPr>
      <w:r w:rsidRPr="0081174A">
        <w:rPr>
          <w:rFonts w:ascii="Palatino Linotype" w:hAnsi="Palatino Linotype"/>
          <w:b/>
          <w:i/>
          <w:lang w:val="es-ES"/>
        </w:rPr>
        <w:t>La Confesión y Reconciliación estará disponible solo con cita previa. Llame a la oficina al 503-397-0148 para hacer una cita.</w:t>
      </w:r>
    </w:p>
    <w:p w14:paraId="4C8F712D" w14:textId="77777777" w:rsidR="00865483" w:rsidRPr="0081174A" w:rsidRDefault="00865483" w:rsidP="00D5223C">
      <w:pPr>
        <w:rPr>
          <w:rFonts w:ascii="Palatino Linotype" w:hAnsi="Palatino Linotype"/>
          <w:b/>
          <w:lang w:val="es-ES"/>
        </w:rPr>
      </w:pPr>
    </w:p>
    <w:p w14:paraId="702324D9" w14:textId="1E0D6502" w:rsidR="00D5223C" w:rsidRPr="0081174A" w:rsidRDefault="00865483" w:rsidP="00D5223C">
      <w:pPr>
        <w:rPr>
          <w:rFonts w:ascii="Palatino Linotype" w:hAnsi="Palatino Linotype"/>
          <w:sz w:val="20"/>
          <w:szCs w:val="20"/>
          <w:lang w:val="es-ES"/>
        </w:rPr>
      </w:pPr>
      <w:r w:rsidRPr="0081174A">
        <w:rPr>
          <w:rFonts w:ascii="Palatino Linotype" w:hAnsi="Palatino Linotype"/>
          <w:b/>
          <w:lang w:val="es-ES"/>
        </w:rPr>
        <w:t>A</w:t>
      </w:r>
      <w:r w:rsidR="00D5223C" w:rsidRPr="0081174A">
        <w:rPr>
          <w:rFonts w:ascii="Palatino Linotype" w:hAnsi="Palatino Linotype"/>
          <w:b/>
          <w:lang w:val="es-ES"/>
        </w:rPr>
        <w:t>cto de Comunión Espiritual</w:t>
      </w:r>
      <w:r w:rsidR="00D5223C" w:rsidRPr="0081174A">
        <w:rPr>
          <w:rFonts w:ascii="Palatino Linotype" w:hAnsi="Palatino Linotype"/>
          <w:lang w:val="es-ES"/>
        </w:rPr>
        <w:t xml:space="preserve">   </w:t>
      </w:r>
      <w:r w:rsidRPr="0081174A">
        <w:rPr>
          <w:rFonts w:ascii="Palatino Linotype" w:hAnsi="Palatino Linotype"/>
          <w:lang w:val="es-ES"/>
        </w:rPr>
        <w:t xml:space="preserve">                               </w:t>
      </w:r>
      <w:r w:rsidR="00D5223C" w:rsidRPr="0081174A">
        <w:rPr>
          <w:rFonts w:ascii="Palatino Linotype" w:hAnsi="Palatino Linotype"/>
          <w:lang w:val="es-ES"/>
        </w:rPr>
        <w:t xml:space="preserve">   Mi Jesús, Creo que estás presente en el Santísimo Sacramento, Te amo por encima de todas las cosas, y deseo recibirte en mi alma. Puesto que en este momento no puedo recibirte sacramentalmente, ven al menos espiritualmente a mi corazón. Te abrazo como si ya estuvieras allí y me</w:t>
      </w:r>
      <w:r w:rsidR="00D5223C" w:rsidRPr="0081174A">
        <w:rPr>
          <w:rFonts w:ascii="Palatino Linotype" w:hAnsi="Palatino Linotype"/>
          <w:sz w:val="20"/>
          <w:szCs w:val="20"/>
          <w:lang w:val="es-ES"/>
        </w:rPr>
        <w:t xml:space="preserve"> unieras totalmente a Ti. Nunca me permitas separarme de Ti. Amén.</w:t>
      </w:r>
    </w:p>
    <w:p w14:paraId="0D97CEAF" w14:textId="77777777" w:rsidR="006E023A" w:rsidRPr="0081174A" w:rsidRDefault="006E023A" w:rsidP="006E023A">
      <w:pPr>
        <w:rPr>
          <w:rFonts w:ascii="Palatino Linotype" w:hAnsi="Palatino Linotype"/>
          <w:lang w:val="es-ES"/>
        </w:rPr>
      </w:pPr>
    </w:p>
    <w:p w14:paraId="50A18608" w14:textId="4DFC9BC5" w:rsidR="009A6317" w:rsidRPr="0081174A" w:rsidRDefault="009A6317" w:rsidP="009A6317">
      <w:pPr>
        <w:rPr>
          <w:rFonts w:ascii="Palatino Linotype" w:hAnsi="Palatino Linotype"/>
          <w:lang w:val="es-ES"/>
        </w:rPr>
      </w:pPr>
      <w:r w:rsidRPr="0081174A">
        <w:rPr>
          <w:rFonts w:ascii="Palatino Linotype" w:hAnsi="Palatino Linotype"/>
          <w:b/>
          <w:u w:val="single"/>
          <w:lang w:val="es-ES"/>
        </w:rPr>
        <w:t>Horarios de Misas y otros servicios</w:t>
      </w:r>
      <w:r w:rsidRPr="0081174A">
        <w:rPr>
          <w:rFonts w:ascii="Palatino Linotype" w:hAnsi="Palatino Linotype"/>
          <w:b/>
          <w:lang w:val="es-ES"/>
        </w:rPr>
        <w:t xml:space="preserve"> </w:t>
      </w:r>
      <w:r w:rsidRPr="0081174A">
        <w:rPr>
          <w:rFonts w:ascii="Palatino Linotype" w:hAnsi="Palatino Linotype"/>
          <w:lang w:val="es-ES"/>
        </w:rPr>
        <w:t xml:space="preserve">                                                                                                                                      Debido a la pandemia COVID-19, todas las misas, adoración, rosario y reconciliación programados se han cancelado hasta el 14 de abril de 2020. La misa se puede ver en EWTN a las 5:00 a.m. &amp; 9:00 a.m. 4:00 pm, 4:45 p.m., 9:00 p.m. &amp; 9:45 p.m. La misa se puede escuchar en Mater Dei Radio (88.3 FM) a las 5:00 am, mediodía &amp; 8:00 p.m. Misa bajo demanda en stredericchurch.org/daily-mass</w:t>
      </w:r>
    </w:p>
    <w:p w14:paraId="0422A810" w14:textId="77777777" w:rsidR="00E113EC" w:rsidRPr="0081174A" w:rsidRDefault="00E113EC" w:rsidP="009A6317">
      <w:pPr>
        <w:rPr>
          <w:rFonts w:ascii="Palatino Linotype" w:hAnsi="Palatino Linotype"/>
          <w:b/>
          <w:i/>
          <w:lang w:val="es-ES"/>
        </w:rPr>
      </w:pPr>
    </w:p>
    <w:p w14:paraId="072CFD09" w14:textId="77777777" w:rsidR="0081174A" w:rsidRDefault="0081174A" w:rsidP="009A6317">
      <w:pPr>
        <w:rPr>
          <w:rFonts w:ascii="Palatino Linotype" w:hAnsi="Palatino Linotype"/>
          <w:b/>
          <w:i/>
          <w:lang w:val="es-ES"/>
        </w:rPr>
      </w:pPr>
    </w:p>
    <w:p w14:paraId="63F3FD03" w14:textId="77777777" w:rsidR="0081174A" w:rsidRDefault="0081174A" w:rsidP="009A6317">
      <w:pPr>
        <w:rPr>
          <w:rFonts w:ascii="Palatino Linotype" w:hAnsi="Palatino Linotype"/>
          <w:b/>
          <w:i/>
          <w:lang w:val="es-ES"/>
        </w:rPr>
      </w:pPr>
      <w:bookmarkStart w:id="0" w:name="_GoBack"/>
      <w:bookmarkEnd w:id="0"/>
    </w:p>
    <w:p w14:paraId="223E4584" w14:textId="77777777" w:rsidR="0081174A" w:rsidRDefault="0081174A" w:rsidP="009A6317">
      <w:pPr>
        <w:rPr>
          <w:rFonts w:ascii="Palatino Linotype" w:hAnsi="Palatino Linotype"/>
          <w:b/>
          <w:i/>
          <w:lang w:val="es-ES"/>
        </w:rPr>
      </w:pPr>
    </w:p>
    <w:p w14:paraId="49FDA23C" w14:textId="77777777" w:rsidR="0081174A" w:rsidRDefault="0081174A" w:rsidP="009A6317">
      <w:pPr>
        <w:rPr>
          <w:rFonts w:ascii="Palatino Linotype" w:hAnsi="Palatino Linotype"/>
          <w:b/>
          <w:i/>
          <w:lang w:val="es-ES"/>
        </w:rPr>
      </w:pPr>
    </w:p>
    <w:p w14:paraId="2245A400" w14:textId="77777777" w:rsidR="0081174A" w:rsidRDefault="0081174A" w:rsidP="009A6317">
      <w:pPr>
        <w:rPr>
          <w:rFonts w:ascii="Palatino Linotype" w:hAnsi="Palatino Linotype"/>
          <w:b/>
          <w:i/>
          <w:lang w:val="es-ES"/>
        </w:rPr>
      </w:pPr>
    </w:p>
    <w:p w14:paraId="64B1636C" w14:textId="77777777" w:rsidR="0081174A" w:rsidRDefault="0081174A" w:rsidP="009A6317">
      <w:pPr>
        <w:rPr>
          <w:rFonts w:ascii="Palatino Linotype" w:hAnsi="Palatino Linotype"/>
          <w:b/>
          <w:i/>
          <w:lang w:val="es-ES"/>
        </w:rPr>
      </w:pPr>
    </w:p>
    <w:p w14:paraId="044014C2" w14:textId="77777777" w:rsidR="0081174A" w:rsidRDefault="0081174A" w:rsidP="009A6317">
      <w:pPr>
        <w:rPr>
          <w:rFonts w:ascii="Palatino Linotype" w:hAnsi="Palatino Linotype"/>
          <w:b/>
          <w:i/>
          <w:lang w:val="es-ES"/>
        </w:rPr>
      </w:pPr>
    </w:p>
    <w:p w14:paraId="0A8EC45C" w14:textId="77777777" w:rsidR="009A6317" w:rsidRPr="0081174A" w:rsidRDefault="009A6317" w:rsidP="009A6317">
      <w:pPr>
        <w:rPr>
          <w:rFonts w:ascii="Palatino Linotype" w:hAnsi="Palatino Linotype"/>
          <w:b/>
          <w:i/>
          <w:lang w:val="es-ES"/>
        </w:rPr>
      </w:pPr>
      <w:r w:rsidRPr="0081174A">
        <w:rPr>
          <w:rFonts w:ascii="Palatino Linotype" w:hAnsi="Palatino Linotype"/>
          <w:b/>
          <w:i/>
          <w:lang w:val="es-ES"/>
        </w:rPr>
        <w:t>La cancelación de las Misas públicas tendrá un impacto negativo en la oferta semanal de la Iglesia. Los feligreses pueden continuar apoyando la misión de la Parroquia de St. Frederic yendo a StFredericchurch.org o mandando un cheque por correo o pasando a la oficina.</w:t>
      </w:r>
    </w:p>
    <w:p w14:paraId="163F27D9" w14:textId="77777777" w:rsidR="009A6317" w:rsidRDefault="009A6317" w:rsidP="009A6317">
      <w:pPr>
        <w:rPr>
          <w:rFonts w:ascii="Cambria" w:hAnsi="Cambria"/>
          <w:lang w:val="es-ES"/>
        </w:rPr>
      </w:pPr>
    </w:p>
    <w:p w14:paraId="0C6094F7" w14:textId="77777777" w:rsidR="00CA3AD1" w:rsidRDefault="00CA3AD1" w:rsidP="00865483">
      <w:pPr>
        <w:rPr>
          <w:rFonts w:ascii="Cambria" w:hAnsi="Cambria"/>
          <w:lang w:val="es-ES"/>
        </w:rPr>
      </w:pPr>
    </w:p>
    <w:p w14:paraId="703F8C4A" w14:textId="77777777" w:rsidR="00CA3AD1" w:rsidRDefault="00CA3AD1" w:rsidP="00865483">
      <w:pPr>
        <w:rPr>
          <w:rFonts w:ascii="Cambria" w:hAnsi="Cambria"/>
          <w:lang w:val="es-ES"/>
        </w:rPr>
      </w:pPr>
    </w:p>
    <w:p w14:paraId="343E0487" w14:textId="0861F921" w:rsidR="007050C1" w:rsidRPr="008D1B2A" w:rsidRDefault="007050C1" w:rsidP="007050C1">
      <w:pPr>
        <w:spacing w:line="256" w:lineRule="auto"/>
        <w:rPr>
          <w:rFonts w:ascii="Cambria" w:eastAsia="Times New Roman" w:hAnsi="Cambria" w:cs="Times New Roman"/>
          <w:color w:val="000000"/>
          <w:lang w:val="es-ES"/>
        </w:rPr>
      </w:pPr>
    </w:p>
    <w:p w14:paraId="76358645" w14:textId="718782A0" w:rsidR="002C4D83" w:rsidRDefault="002C4D83" w:rsidP="002C4D83">
      <w:pPr>
        <w:rPr>
          <w:rFonts w:ascii="Cambria" w:hAnsi="Cambria"/>
          <w:b/>
          <w:sz w:val="20"/>
          <w:szCs w:val="20"/>
          <w:lang w:val="es-ES"/>
        </w:rPr>
      </w:pPr>
      <w:r>
        <w:rPr>
          <w:noProof/>
          <w:lang w:eastAsia="en-US"/>
        </w:rPr>
        <mc:AlternateContent>
          <mc:Choice Requires="wps">
            <w:drawing>
              <wp:anchor distT="0" distB="0" distL="114300" distR="114300" simplePos="0" relativeHeight="251662336" behindDoc="0" locked="0" layoutInCell="1" allowOverlap="1" wp14:anchorId="047C2EE4" wp14:editId="38C41F0F">
                <wp:simplePos x="0" y="0"/>
                <wp:positionH relativeFrom="column">
                  <wp:posOffset>21609</wp:posOffset>
                </wp:positionH>
                <wp:positionV relativeFrom="paragraph">
                  <wp:posOffset>132221</wp:posOffset>
                </wp:positionV>
                <wp:extent cx="2281555" cy="1221475"/>
                <wp:effectExtent l="19050" t="19050" r="23495" b="17145"/>
                <wp:wrapNone/>
                <wp:docPr id="7" name="Text Box 7"/>
                <wp:cNvGraphicFramePr/>
                <a:graphic xmlns:a="http://schemas.openxmlformats.org/drawingml/2006/main">
                  <a:graphicData uri="http://schemas.microsoft.com/office/word/2010/wordprocessingShape">
                    <wps:wsp>
                      <wps:cNvSpPr txBox="1"/>
                      <wps:spPr>
                        <a:xfrm>
                          <a:off x="0" y="0"/>
                          <a:ext cx="2281555" cy="12214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265E4990" w:rsidR="00DF029A" w:rsidRPr="0036083C" w:rsidRDefault="00DF029A" w:rsidP="006E023A">
                            <w:pPr>
                              <w:jc w:val="center"/>
                              <w:rPr>
                                <w:rFonts w:ascii="Cambria" w:hAnsi="Cambria"/>
                                <w:sz w:val="28"/>
                                <w:szCs w:val="28"/>
                                <w:lang w:val="es-ES"/>
                              </w:rPr>
                            </w:pPr>
                            <w:r w:rsidRPr="0036083C">
                              <w:rPr>
                                <w:rFonts w:ascii="Cambria" w:hAnsi="Cambria"/>
                                <w:sz w:val="28"/>
                                <w:szCs w:val="28"/>
                                <w:lang w:val="es-ES"/>
                              </w:rPr>
                              <w:t xml:space="preserve">Gracias a </w:t>
                            </w:r>
                            <w:r w:rsidR="001B319B">
                              <w:rPr>
                                <w:rFonts w:ascii="Cambria" w:hAnsi="Cambria"/>
                                <w:b/>
                                <w:sz w:val="28"/>
                                <w:szCs w:val="28"/>
                                <w:lang w:val="es-ES"/>
                              </w:rPr>
                              <w:t>COLUMBIA FUNERAL HOME AND CREMATION CENTER</w:t>
                            </w:r>
                            <w:r w:rsidR="006E023A">
                              <w:rPr>
                                <w:rFonts w:ascii="Cambria" w:hAnsi="Cambria"/>
                                <w:b/>
                                <w:sz w:val="28"/>
                                <w:szCs w:val="28"/>
                                <w:lang w:val="es-ES"/>
                              </w:rPr>
                              <w:t xml:space="preserve"> </w:t>
                            </w:r>
                            <w:r w:rsidRPr="0036083C">
                              <w:rPr>
                                <w:rFonts w:ascii="Cambria" w:hAnsi="Cambria"/>
                                <w:sz w:val="28"/>
                                <w:szCs w:val="28"/>
                                <w:lang w:val="es-ES"/>
                              </w:rPr>
                              <w:t>por poner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margin-left:1.7pt;margin-top:10.4pt;width:179.65pt;height:9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" fillcolor="#f2f2f2 [3204]" strokecolor="#787878 [1604]" strokeweight="2.25pt">
                <v:textbox>
                  <w:txbxContent>
                    <w:p w14:paraId="0250E365" w14:textId="265E4990" w:rsidR="00DF029A" w:rsidRPr="0036083C" w:rsidRDefault="00DF029A" w:rsidP="006E023A">
                      <w:pPr>
                        <w:jc w:val="center"/>
                        <w:rPr>
                          <w:rFonts w:ascii="Cambria" w:hAnsi="Cambria"/>
                          <w:sz w:val="28"/>
                          <w:szCs w:val="28"/>
                          <w:lang w:val="es-ES"/>
                        </w:rPr>
                      </w:pPr>
                      <w:r w:rsidRPr="0036083C">
                        <w:rPr>
                          <w:rFonts w:ascii="Cambria" w:hAnsi="Cambria"/>
                          <w:sz w:val="28"/>
                          <w:szCs w:val="28"/>
                          <w:lang w:val="es-ES"/>
                        </w:rPr>
                        <w:t xml:space="preserve">Gracias a </w:t>
                      </w:r>
                      <w:r w:rsidR="001B319B">
                        <w:rPr>
                          <w:rFonts w:ascii="Cambria" w:hAnsi="Cambria"/>
                          <w:b/>
                          <w:sz w:val="28"/>
                          <w:szCs w:val="28"/>
                          <w:lang w:val="es-ES"/>
                        </w:rPr>
                        <w:t>COLUMBIA FUNERAL HOME AND CREMATION CENTER</w:t>
                      </w:r>
                      <w:r w:rsidR="006E023A">
                        <w:rPr>
                          <w:rFonts w:ascii="Cambria" w:hAnsi="Cambria"/>
                          <w:b/>
                          <w:sz w:val="28"/>
                          <w:szCs w:val="28"/>
                          <w:lang w:val="es-ES"/>
                        </w:rPr>
                        <w:t xml:space="preserve"> </w:t>
                      </w:r>
                      <w:r w:rsidRPr="0036083C">
                        <w:rPr>
                          <w:rFonts w:ascii="Cambria" w:hAnsi="Cambria"/>
                          <w:sz w:val="28"/>
                          <w:szCs w:val="28"/>
                          <w:lang w:val="es-ES"/>
                        </w:rPr>
                        <w:t>por poner un anuncio en nuestro boletín.</w:t>
                      </w:r>
                    </w:p>
                  </w:txbxContent>
                </v:textbox>
              </v:shape>
            </w:pict>
          </mc:Fallback>
        </mc:AlternateContent>
      </w:r>
    </w:p>
    <w:p w14:paraId="196C273C" w14:textId="77777777" w:rsidR="00462205" w:rsidRDefault="00462205" w:rsidP="002C4D83">
      <w:pPr>
        <w:rPr>
          <w:rFonts w:ascii="Cambria" w:hAnsi="Cambria"/>
          <w:b/>
          <w:sz w:val="20"/>
          <w:szCs w:val="20"/>
          <w:lang w:val="es-ES"/>
        </w:rPr>
      </w:pPr>
    </w:p>
    <w:sectPr w:rsidR="00462205"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5E0D" w14:textId="77777777" w:rsidR="006262E2" w:rsidRDefault="006262E2" w:rsidP="007E024A">
      <w:pPr>
        <w:spacing w:after="0" w:line="240" w:lineRule="auto"/>
      </w:pPr>
      <w:r>
        <w:separator/>
      </w:r>
    </w:p>
  </w:endnote>
  <w:endnote w:type="continuationSeparator" w:id="0">
    <w:p w14:paraId="0BAEF8E9" w14:textId="77777777" w:rsidR="006262E2" w:rsidRDefault="006262E2"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E8DA" w14:textId="77777777" w:rsidR="006262E2" w:rsidRDefault="006262E2" w:rsidP="007E024A">
      <w:pPr>
        <w:spacing w:after="0" w:line="240" w:lineRule="auto"/>
      </w:pPr>
      <w:r>
        <w:separator/>
      </w:r>
    </w:p>
  </w:footnote>
  <w:footnote w:type="continuationSeparator" w:id="0">
    <w:p w14:paraId="7545FE1E" w14:textId="77777777" w:rsidR="006262E2" w:rsidRDefault="006262E2"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4EC5"/>
    <w:rsid w:val="0000575F"/>
    <w:rsid w:val="0000639A"/>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47FD6"/>
    <w:rsid w:val="00050F2C"/>
    <w:rsid w:val="00053224"/>
    <w:rsid w:val="00053365"/>
    <w:rsid w:val="00057B27"/>
    <w:rsid w:val="0006251D"/>
    <w:rsid w:val="000668FB"/>
    <w:rsid w:val="0007237D"/>
    <w:rsid w:val="00076CA3"/>
    <w:rsid w:val="000778E8"/>
    <w:rsid w:val="000823EE"/>
    <w:rsid w:val="00084119"/>
    <w:rsid w:val="000869B3"/>
    <w:rsid w:val="00086EF9"/>
    <w:rsid w:val="00090BE5"/>
    <w:rsid w:val="00092E63"/>
    <w:rsid w:val="00093598"/>
    <w:rsid w:val="00094AE8"/>
    <w:rsid w:val="0009748A"/>
    <w:rsid w:val="000A347A"/>
    <w:rsid w:val="000A39CA"/>
    <w:rsid w:val="000A6092"/>
    <w:rsid w:val="000A671E"/>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26F4"/>
    <w:rsid w:val="00114653"/>
    <w:rsid w:val="00115820"/>
    <w:rsid w:val="00130064"/>
    <w:rsid w:val="00132B48"/>
    <w:rsid w:val="00141A44"/>
    <w:rsid w:val="00144346"/>
    <w:rsid w:val="00152B7C"/>
    <w:rsid w:val="001557BB"/>
    <w:rsid w:val="001578EB"/>
    <w:rsid w:val="00160DF2"/>
    <w:rsid w:val="00161932"/>
    <w:rsid w:val="001679A6"/>
    <w:rsid w:val="00171A29"/>
    <w:rsid w:val="00172939"/>
    <w:rsid w:val="00174598"/>
    <w:rsid w:val="0017574C"/>
    <w:rsid w:val="00175A73"/>
    <w:rsid w:val="00175A84"/>
    <w:rsid w:val="00177693"/>
    <w:rsid w:val="0018249E"/>
    <w:rsid w:val="00187610"/>
    <w:rsid w:val="00192081"/>
    <w:rsid w:val="001A080E"/>
    <w:rsid w:val="001A10E1"/>
    <w:rsid w:val="001A2501"/>
    <w:rsid w:val="001A4C3F"/>
    <w:rsid w:val="001A6CA2"/>
    <w:rsid w:val="001B127F"/>
    <w:rsid w:val="001B319B"/>
    <w:rsid w:val="001B6CCC"/>
    <w:rsid w:val="001B7ED9"/>
    <w:rsid w:val="001C1661"/>
    <w:rsid w:val="001C6B0E"/>
    <w:rsid w:val="001D3DAA"/>
    <w:rsid w:val="001D5156"/>
    <w:rsid w:val="001D7C7D"/>
    <w:rsid w:val="001E099E"/>
    <w:rsid w:val="001E180E"/>
    <w:rsid w:val="001E79A6"/>
    <w:rsid w:val="001F58ED"/>
    <w:rsid w:val="001F714C"/>
    <w:rsid w:val="002068D2"/>
    <w:rsid w:val="002069FF"/>
    <w:rsid w:val="00207976"/>
    <w:rsid w:val="002112A2"/>
    <w:rsid w:val="002146E7"/>
    <w:rsid w:val="0021542A"/>
    <w:rsid w:val="00215D31"/>
    <w:rsid w:val="00224A58"/>
    <w:rsid w:val="00226195"/>
    <w:rsid w:val="00231927"/>
    <w:rsid w:val="00235967"/>
    <w:rsid w:val="0023719A"/>
    <w:rsid w:val="00240608"/>
    <w:rsid w:val="00243417"/>
    <w:rsid w:val="00244708"/>
    <w:rsid w:val="00244EB8"/>
    <w:rsid w:val="002475AF"/>
    <w:rsid w:val="0025351F"/>
    <w:rsid w:val="00255597"/>
    <w:rsid w:val="00257598"/>
    <w:rsid w:val="0027080B"/>
    <w:rsid w:val="00270A8F"/>
    <w:rsid w:val="002736A2"/>
    <w:rsid w:val="00275FDA"/>
    <w:rsid w:val="00284A8D"/>
    <w:rsid w:val="0028567B"/>
    <w:rsid w:val="00292A40"/>
    <w:rsid w:val="0029348E"/>
    <w:rsid w:val="002A1876"/>
    <w:rsid w:val="002A3C07"/>
    <w:rsid w:val="002A63E8"/>
    <w:rsid w:val="002B4337"/>
    <w:rsid w:val="002C40D7"/>
    <w:rsid w:val="002C4D83"/>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6CA4"/>
    <w:rsid w:val="0033706A"/>
    <w:rsid w:val="00344F53"/>
    <w:rsid w:val="00346D60"/>
    <w:rsid w:val="003513A9"/>
    <w:rsid w:val="003548BD"/>
    <w:rsid w:val="00355176"/>
    <w:rsid w:val="00355599"/>
    <w:rsid w:val="0035576C"/>
    <w:rsid w:val="00356ECA"/>
    <w:rsid w:val="00357951"/>
    <w:rsid w:val="0036083C"/>
    <w:rsid w:val="003768AD"/>
    <w:rsid w:val="00380C2C"/>
    <w:rsid w:val="00380F92"/>
    <w:rsid w:val="0038252B"/>
    <w:rsid w:val="00385665"/>
    <w:rsid w:val="00390A78"/>
    <w:rsid w:val="00392543"/>
    <w:rsid w:val="003A28F2"/>
    <w:rsid w:val="003A64F9"/>
    <w:rsid w:val="003C2753"/>
    <w:rsid w:val="003D10B2"/>
    <w:rsid w:val="003D2EF5"/>
    <w:rsid w:val="003D3DF9"/>
    <w:rsid w:val="003D5E7C"/>
    <w:rsid w:val="003D7630"/>
    <w:rsid w:val="003E1771"/>
    <w:rsid w:val="003E607D"/>
    <w:rsid w:val="003F00CF"/>
    <w:rsid w:val="003F0F73"/>
    <w:rsid w:val="003F2D7F"/>
    <w:rsid w:val="003F3557"/>
    <w:rsid w:val="003F4636"/>
    <w:rsid w:val="00412940"/>
    <w:rsid w:val="004142AE"/>
    <w:rsid w:val="0041599C"/>
    <w:rsid w:val="00420ACE"/>
    <w:rsid w:val="00420E33"/>
    <w:rsid w:val="004255CF"/>
    <w:rsid w:val="00432368"/>
    <w:rsid w:val="00434FF7"/>
    <w:rsid w:val="00435CCB"/>
    <w:rsid w:val="0044050A"/>
    <w:rsid w:val="00440F15"/>
    <w:rsid w:val="00445540"/>
    <w:rsid w:val="004477CB"/>
    <w:rsid w:val="00452523"/>
    <w:rsid w:val="00455654"/>
    <w:rsid w:val="0046012C"/>
    <w:rsid w:val="00462205"/>
    <w:rsid w:val="00463441"/>
    <w:rsid w:val="00464855"/>
    <w:rsid w:val="004678DA"/>
    <w:rsid w:val="004738F4"/>
    <w:rsid w:val="0047628C"/>
    <w:rsid w:val="0049324E"/>
    <w:rsid w:val="004A34B3"/>
    <w:rsid w:val="004A7350"/>
    <w:rsid w:val="004B7E23"/>
    <w:rsid w:val="004C255F"/>
    <w:rsid w:val="004C277A"/>
    <w:rsid w:val="004C32C4"/>
    <w:rsid w:val="004C3AC2"/>
    <w:rsid w:val="004D1F25"/>
    <w:rsid w:val="004D2724"/>
    <w:rsid w:val="004D2E83"/>
    <w:rsid w:val="004D3D5B"/>
    <w:rsid w:val="004D44DC"/>
    <w:rsid w:val="004E5D9A"/>
    <w:rsid w:val="004F116B"/>
    <w:rsid w:val="004F25BC"/>
    <w:rsid w:val="004F5709"/>
    <w:rsid w:val="004F6AAC"/>
    <w:rsid w:val="00511F84"/>
    <w:rsid w:val="00514353"/>
    <w:rsid w:val="00514550"/>
    <w:rsid w:val="00514643"/>
    <w:rsid w:val="005209C3"/>
    <w:rsid w:val="005216B8"/>
    <w:rsid w:val="005219F1"/>
    <w:rsid w:val="00521DDD"/>
    <w:rsid w:val="00521E81"/>
    <w:rsid w:val="00522039"/>
    <w:rsid w:val="00524C7D"/>
    <w:rsid w:val="00525A48"/>
    <w:rsid w:val="00531D61"/>
    <w:rsid w:val="00536107"/>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272F"/>
    <w:rsid w:val="00573A64"/>
    <w:rsid w:val="00576393"/>
    <w:rsid w:val="00577A69"/>
    <w:rsid w:val="00582A12"/>
    <w:rsid w:val="005878D6"/>
    <w:rsid w:val="005A49BD"/>
    <w:rsid w:val="005A5254"/>
    <w:rsid w:val="005A664E"/>
    <w:rsid w:val="005B7FEB"/>
    <w:rsid w:val="005C0204"/>
    <w:rsid w:val="005C29FE"/>
    <w:rsid w:val="005C4807"/>
    <w:rsid w:val="005C6967"/>
    <w:rsid w:val="005D1A10"/>
    <w:rsid w:val="005E10C8"/>
    <w:rsid w:val="005E13C4"/>
    <w:rsid w:val="005E20E9"/>
    <w:rsid w:val="005E5C56"/>
    <w:rsid w:val="005E6072"/>
    <w:rsid w:val="005E69DE"/>
    <w:rsid w:val="005F0432"/>
    <w:rsid w:val="005F0BBC"/>
    <w:rsid w:val="005F129C"/>
    <w:rsid w:val="005F4C52"/>
    <w:rsid w:val="005F7748"/>
    <w:rsid w:val="005F7B09"/>
    <w:rsid w:val="006010FB"/>
    <w:rsid w:val="0060770B"/>
    <w:rsid w:val="0061158A"/>
    <w:rsid w:val="00613865"/>
    <w:rsid w:val="00613BD3"/>
    <w:rsid w:val="006215ED"/>
    <w:rsid w:val="00623F7E"/>
    <w:rsid w:val="0062404A"/>
    <w:rsid w:val="006262E2"/>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C577E"/>
    <w:rsid w:val="006C7169"/>
    <w:rsid w:val="006D4433"/>
    <w:rsid w:val="006D493E"/>
    <w:rsid w:val="006D54CF"/>
    <w:rsid w:val="006D7C50"/>
    <w:rsid w:val="006D7C81"/>
    <w:rsid w:val="006E00E7"/>
    <w:rsid w:val="006E023A"/>
    <w:rsid w:val="006E4CB4"/>
    <w:rsid w:val="006F0597"/>
    <w:rsid w:val="00700D73"/>
    <w:rsid w:val="0070185C"/>
    <w:rsid w:val="007050C1"/>
    <w:rsid w:val="007075DC"/>
    <w:rsid w:val="00707F72"/>
    <w:rsid w:val="007101E2"/>
    <w:rsid w:val="00711983"/>
    <w:rsid w:val="0071265A"/>
    <w:rsid w:val="00713F4F"/>
    <w:rsid w:val="00715946"/>
    <w:rsid w:val="007169B8"/>
    <w:rsid w:val="00717BC2"/>
    <w:rsid w:val="007232B3"/>
    <w:rsid w:val="00723DEE"/>
    <w:rsid w:val="00724D9E"/>
    <w:rsid w:val="00725704"/>
    <w:rsid w:val="00725D80"/>
    <w:rsid w:val="00725FE8"/>
    <w:rsid w:val="00747820"/>
    <w:rsid w:val="00757EA2"/>
    <w:rsid w:val="00760D1C"/>
    <w:rsid w:val="0076227A"/>
    <w:rsid w:val="00762DAB"/>
    <w:rsid w:val="00766704"/>
    <w:rsid w:val="00766A07"/>
    <w:rsid w:val="0076711D"/>
    <w:rsid w:val="0077576E"/>
    <w:rsid w:val="007763C3"/>
    <w:rsid w:val="00777493"/>
    <w:rsid w:val="0078174E"/>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0A5"/>
    <w:rsid w:val="007D28C9"/>
    <w:rsid w:val="007D34E9"/>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174A"/>
    <w:rsid w:val="0081493F"/>
    <w:rsid w:val="00815281"/>
    <w:rsid w:val="00823DA0"/>
    <w:rsid w:val="008240F9"/>
    <w:rsid w:val="008255FA"/>
    <w:rsid w:val="00832767"/>
    <w:rsid w:val="00834A58"/>
    <w:rsid w:val="00837CC4"/>
    <w:rsid w:val="00840A62"/>
    <w:rsid w:val="0084374E"/>
    <w:rsid w:val="00851349"/>
    <w:rsid w:val="0085233A"/>
    <w:rsid w:val="00857F14"/>
    <w:rsid w:val="008619FC"/>
    <w:rsid w:val="00862544"/>
    <w:rsid w:val="00865483"/>
    <w:rsid w:val="00876AAE"/>
    <w:rsid w:val="00877F1C"/>
    <w:rsid w:val="00880DF4"/>
    <w:rsid w:val="008811D4"/>
    <w:rsid w:val="00881C6E"/>
    <w:rsid w:val="0088305E"/>
    <w:rsid w:val="008860DF"/>
    <w:rsid w:val="00890180"/>
    <w:rsid w:val="00890D12"/>
    <w:rsid w:val="0089169F"/>
    <w:rsid w:val="00893309"/>
    <w:rsid w:val="008A0F8D"/>
    <w:rsid w:val="008A3615"/>
    <w:rsid w:val="008A6779"/>
    <w:rsid w:val="008A6826"/>
    <w:rsid w:val="008B15A9"/>
    <w:rsid w:val="008B6700"/>
    <w:rsid w:val="008B6BD8"/>
    <w:rsid w:val="008B7980"/>
    <w:rsid w:val="008C5609"/>
    <w:rsid w:val="008C7710"/>
    <w:rsid w:val="008D0092"/>
    <w:rsid w:val="008D18CF"/>
    <w:rsid w:val="008D45FF"/>
    <w:rsid w:val="008E17F0"/>
    <w:rsid w:val="008E2861"/>
    <w:rsid w:val="008E2BAF"/>
    <w:rsid w:val="008E3288"/>
    <w:rsid w:val="008E3FBC"/>
    <w:rsid w:val="008E5F0A"/>
    <w:rsid w:val="008F0032"/>
    <w:rsid w:val="008F300E"/>
    <w:rsid w:val="008F5367"/>
    <w:rsid w:val="008F75E9"/>
    <w:rsid w:val="00906382"/>
    <w:rsid w:val="00906D0F"/>
    <w:rsid w:val="0091053A"/>
    <w:rsid w:val="00910C26"/>
    <w:rsid w:val="00913C37"/>
    <w:rsid w:val="009153FF"/>
    <w:rsid w:val="00915916"/>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4DCB"/>
    <w:rsid w:val="00986824"/>
    <w:rsid w:val="009946EF"/>
    <w:rsid w:val="00995435"/>
    <w:rsid w:val="009972EA"/>
    <w:rsid w:val="009A361C"/>
    <w:rsid w:val="009A37D4"/>
    <w:rsid w:val="009A3A24"/>
    <w:rsid w:val="009A6317"/>
    <w:rsid w:val="009B3DBE"/>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779B"/>
    <w:rsid w:val="00A1051A"/>
    <w:rsid w:val="00A145C4"/>
    <w:rsid w:val="00A15A53"/>
    <w:rsid w:val="00A22B5B"/>
    <w:rsid w:val="00A26C9E"/>
    <w:rsid w:val="00A32665"/>
    <w:rsid w:val="00A53C38"/>
    <w:rsid w:val="00A54056"/>
    <w:rsid w:val="00A5415F"/>
    <w:rsid w:val="00A54BD6"/>
    <w:rsid w:val="00A55936"/>
    <w:rsid w:val="00A71FE9"/>
    <w:rsid w:val="00A72407"/>
    <w:rsid w:val="00A845EA"/>
    <w:rsid w:val="00A91A66"/>
    <w:rsid w:val="00A92759"/>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D7ED0"/>
    <w:rsid w:val="00AE24FE"/>
    <w:rsid w:val="00AF5AB6"/>
    <w:rsid w:val="00B02D56"/>
    <w:rsid w:val="00B05954"/>
    <w:rsid w:val="00B11371"/>
    <w:rsid w:val="00B13E0C"/>
    <w:rsid w:val="00B20185"/>
    <w:rsid w:val="00B2605B"/>
    <w:rsid w:val="00B31134"/>
    <w:rsid w:val="00B32887"/>
    <w:rsid w:val="00B4129E"/>
    <w:rsid w:val="00B41A63"/>
    <w:rsid w:val="00B449B0"/>
    <w:rsid w:val="00B46BB7"/>
    <w:rsid w:val="00B51F20"/>
    <w:rsid w:val="00B54F0A"/>
    <w:rsid w:val="00B55AED"/>
    <w:rsid w:val="00B578FE"/>
    <w:rsid w:val="00B60491"/>
    <w:rsid w:val="00B70B9A"/>
    <w:rsid w:val="00B731F8"/>
    <w:rsid w:val="00B742F8"/>
    <w:rsid w:val="00B7578F"/>
    <w:rsid w:val="00B76289"/>
    <w:rsid w:val="00B77742"/>
    <w:rsid w:val="00B8058B"/>
    <w:rsid w:val="00B81206"/>
    <w:rsid w:val="00B832FD"/>
    <w:rsid w:val="00B83CA3"/>
    <w:rsid w:val="00B87ADB"/>
    <w:rsid w:val="00B92178"/>
    <w:rsid w:val="00B940F5"/>
    <w:rsid w:val="00B97CE6"/>
    <w:rsid w:val="00BA78BF"/>
    <w:rsid w:val="00BB0B67"/>
    <w:rsid w:val="00BB2676"/>
    <w:rsid w:val="00BB6C5A"/>
    <w:rsid w:val="00BC6633"/>
    <w:rsid w:val="00BC6F29"/>
    <w:rsid w:val="00BC778D"/>
    <w:rsid w:val="00BD4092"/>
    <w:rsid w:val="00BD4122"/>
    <w:rsid w:val="00BD4B4A"/>
    <w:rsid w:val="00BE0857"/>
    <w:rsid w:val="00BE3C69"/>
    <w:rsid w:val="00BE5DAD"/>
    <w:rsid w:val="00BE6033"/>
    <w:rsid w:val="00BF2420"/>
    <w:rsid w:val="00BF54DE"/>
    <w:rsid w:val="00BF58C9"/>
    <w:rsid w:val="00BF70DD"/>
    <w:rsid w:val="00C02BB8"/>
    <w:rsid w:val="00C039D2"/>
    <w:rsid w:val="00C11AA4"/>
    <w:rsid w:val="00C16F0E"/>
    <w:rsid w:val="00C232EE"/>
    <w:rsid w:val="00C32CCA"/>
    <w:rsid w:val="00C33821"/>
    <w:rsid w:val="00C344B3"/>
    <w:rsid w:val="00C34EB2"/>
    <w:rsid w:val="00C3600E"/>
    <w:rsid w:val="00C40307"/>
    <w:rsid w:val="00C4083D"/>
    <w:rsid w:val="00C41920"/>
    <w:rsid w:val="00C47693"/>
    <w:rsid w:val="00C52B7A"/>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B1293"/>
    <w:rsid w:val="00CB1357"/>
    <w:rsid w:val="00CB1859"/>
    <w:rsid w:val="00CB23A8"/>
    <w:rsid w:val="00CB7F29"/>
    <w:rsid w:val="00CC14E7"/>
    <w:rsid w:val="00CC4535"/>
    <w:rsid w:val="00CC61B4"/>
    <w:rsid w:val="00CD0677"/>
    <w:rsid w:val="00CD1B2F"/>
    <w:rsid w:val="00CD2CE9"/>
    <w:rsid w:val="00CD3054"/>
    <w:rsid w:val="00CD4161"/>
    <w:rsid w:val="00CD476A"/>
    <w:rsid w:val="00CE237C"/>
    <w:rsid w:val="00CE2BE6"/>
    <w:rsid w:val="00CE47D2"/>
    <w:rsid w:val="00CF14C2"/>
    <w:rsid w:val="00CF1BB1"/>
    <w:rsid w:val="00CF1E2E"/>
    <w:rsid w:val="00CF6139"/>
    <w:rsid w:val="00CF72CF"/>
    <w:rsid w:val="00D03090"/>
    <w:rsid w:val="00D03C0C"/>
    <w:rsid w:val="00D05F72"/>
    <w:rsid w:val="00D072F4"/>
    <w:rsid w:val="00D14C65"/>
    <w:rsid w:val="00D15171"/>
    <w:rsid w:val="00D221B9"/>
    <w:rsid w:val="00D22413"/>
    <w:rsid w:val="00D251D1"/>
    <w:rsid w:val="00D25C52"/>
    <w:rsid w:val="00D265C6"/>
    <w:rsid w:val="00D265F6"/>
    <w:rsid w:val="00D302BA"/>
    <w:rsid w:val="00D325B4"/>
    <w:rsid w:val="00D345A7"/>
    <w:rsid w:val="00D3480F"/>
    <w:rsid w:val="00D358E8"/>
    <w:rsid w:val="00D41AF1"/>
    <w:rsid w:val="00D47714"/>
    <w:rsid w:val="00D47E5D"/>
    <w:rsid w:val="00D47EDB"/>
    <w:rsid w:val="00D50013"/>
    <w:rsid w:val="00D5223C"/>
    <w:rsid w:val="00D55316"/>
    <w:rsid w:val="00D56E05"/>
    <w:rsid w:val="00D6164B"/>
    <w:rsid w:val="00D67575"/>
    <w:rsid w:val="00D6765F"/>
    <w:rsid w:val="00D73B34"/>
    <w:rsid w:val="00D810BD"/>
    <w:rsid w:val="00D841AB"/>
    <w:rsid w:val="00D8741D"/>
    <w:rsid w:val="00D87A9C"/>
    <w:rsid w:val="00D90352"/>
    <w:rsid w:val="00D92C46"/>
    <w:rsid w:val="00D939E3"/>
    <w:rsid w:val="00DA2BA7"/>
    <w:rsid w:val="00DA408D"/>
    <w:rsid w:val="00DB2866"/>
    <w:rsid w:val="00DC5508"/>
    <w:rsid w:val="00DD1917"/>
    <w:rsid w:val="00DD3228"/>
    <w:rsid w:val="00DD48CE"/>
    <w:rsid w:val="00DD4FAB"/>
    <w:rsid w:val="00DE019E"/>
    <w:rsid w:val="00DE4A24"/>
    <w:rsid w:val="00DE6A7A"/>
    <w:rsid w:val="00DE7D10"/>
    <w:rsid w:val="00DF029A"/>
    <w:rsid w:val="00DF36C1"/>
    <w:rsid w:val="00E10358"/>
    <w:rsid w:val="00E113EC"/>
    <w:rsid w:val="00E134C5"/>
    <w:rsid w:val="00E13E6C"/>
    <w:rsid w:val="00E147D8"/>
    <w:rsid w:val="00E20E8D"/>
    <w:rsid w:val="00E272FE"/>
    <w:rsid w:val="00E27BEF"/>
    <w:rsid w:val="00E337B8"/>
    <w:rsid w:val="00E42852"/>
    <w:rsid w:val="00E45448"/>
    <w:rsid w:val="00E4580D"/>
    <w:rsid w:val="00E4623D"/>
    <w:rsid w:val="00E500EC"/>
    <w:rsid w:val="00E5209D"/>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320"/>
    <w:rsid w:val="00EA0485"/>
    <w:rsid w:val="00EA558A"/>
    <w:rsid w:val="00EB1C3D"/>
    <w:rsid w:val="00EB32D1"/>
    <w:rsid w:val="00EB4275"/>
    <w:rsid w:val="00EC16E0"/>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13C5"/>
    <w:rsid w:val="00F62535"/>
    <w:rsid w:val="00F67FB3"/>
    <w:rsid w:val="00F70838"/>
    <w:rsid w:val="00F70E02"/>
    <w:rsid w:val="00F72E92"/>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7D44"/>
    <w:rsid w:val="00FA0DD8"/>
    <w:rsid w:val="00FA1BB7"/>
    <w:rsid w:val="00FA6A82"/>
    <w:rsid w:val="00FA7141"/>
    <w:rsid w:val="00FB087F"/>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F7ABC1F5-A08B-455A-87D3-BAD7B12A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6</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4</cp:revision>
  <dcterms:created xsi:type="dcterms:W3CDTF">2020-04-17T15:30:00Z</dcterms:created>
  <dcterms:modified xsi:type="dcterms:W3CDTF">2020-04-17T16:34:00Z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