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8B60A" w14:textId="42BE3ABD" w:rsidR="00F445E7" w:rsidRDefault="00815AF9">
      <w:pPr>
        <w:spacing w:before="76"/>
        <w:ind w:left="3429" w:right="3410"/>
        <w:jc w:val="center"/>
        <w:rPr>
          <w:b/>
          <w:sz w:val="24"/>
        </w:rPr>
      </w:pPr>
      <w:r>
        <w:rPr>
          <w:b/>
          <w:sz w:val="24"/>
        </w:rPr>
        <w:t>WI Real Estate Agreement Checklist</w:t>
      </w:r>
    </w:p>
    <w:p w14:paraId="336C948C" w14:textId="77777777" w:rsidR="00F445E7" w:rsidRDefault="00F445E7" w:rsidP="003B690B">
      <w:pPr>
        <w:pStyle w:val="BodyText"/>
        <w:spacing w:before="7"/>
        <w:rPr>
          <w:b/>
          <w:sz w:val="38"/>
        </w:rPr>
      </w:pPr>
    </w:p>
    <w:p w14:paraId="678B7C86" w14:textId="77777777" w:rsidR="00F445E7" w:rsidRDefault="008000A6" w:rsidP="003B690B">
      <w:pPr>
        <w:pStyle w:val="BodyText"/>
        <w:ind w:left="100" w:right="360"/>
      </w:pPr>
      <w:r>
        <w:t xml:space="preserve">This list serves as a reminder of some of the items and common issues that the parties need to keep in mind during the completion and execution of the Real Estate Purchase Agreement (the "Agreement"). Please take the </w:t>
      </w:r>
      <w:r>
        <w:t>time to go through the checklist and take note of the necessary items that need to be provided to the parties.</w:t>
      </w:r>
    </w:p>
    <w:p w14:paraId="6D350D53" w14:textId="77777777" w:rsidR="00F445E7" w:rsidRDefault="00F445E7" w:rsidP="003B690B">
      <w:pPr>
        <w:pStyle w:val="BodyText"/>
        <w:spacing w:before="8"/>
        <w:rPr>
          <w:sz w:val="31"/>
        </w:rPr>
      </w:pPr>
    </w:p>
    <w:p w14:paraId="274D1187" w14:textId="77777777" w:rsidR="00F445E7" w:rsidRDefault="008000A6" w:rsidP="003B690B">
      <w:pPr>
        <w:pStyle w:val="ListParagraph"/>
        <w:numPr>
          <w:ilvl w:val="0"/>
          <w:numId w:val="1"/>
        </w:numPr>
        <w:tabs>
          <w:tab w:val="left" w:pos="759"/>
          <w:tab w:val="left" w:pos="760"/>
        </w:tabs>
        <w:rPr>
          <w:sz w:val="24"/>
        </w:rPr>
      </w:pPr>
      <w:r>
        <w:rPr>
          <w:sz w:val="24"/>
        </w:rPr>
        <w:t>Prior to the signing of the Agreement, the Seller should:</w:t>
      </w:r>
    </w:p>
    <w:p w14:paraId="52A642EE" w14:textId="77777777" w:rsidR="00F445E7" w:rsidRDefault="00F445E7" w:rsidP="003B690B">
      <w:pPr>
        <w:pStyle w:val="BodyText"/>
        <w:spacing w:before="7"/>
        <w:rPr>
          <w:sz w:val="38"/>
        </w:rPr>
      </w:pPr>
    </w:p>
    <w:p w14:paraId="4F628AF6" w14:textId="67DEC9AF" w:rsidR="00F445E7" w:rsidRDefault="008000A6" w:rsidP="003B690B">
      <w:pPr>
        <w:pStyle w:val="ListParagraph"/>
        <w:numPr>
          <w:ilvl w:val="1"/>
          <w:numId w:val="1"/>
        </w:numPr>
        <w:tabs>
          <w:tab w:val="left" w:pos="1419"/>
          <w:tab w:val="left" w:pos="1420"/>
        </w:tabs>
        <w:rPr>
          <w:sz w:val="24"/>
        </w:rPr>
      </w:pPr>
      <w:r>
        <w:rPr>
          <w:sz w:val="24"/>
        </w:rPr>
        <w:t xml:space="preserve">Provide any required Seller Disclosures or optional disclosures to the </w:t>
      </w:r>
      <w:r w:rsidR="00D11A9E">
        <w:rPr>
          <w:sz w:val="24"/>
        </w:rPr>
        <w:t>Buyer.</w:t>
      </w:r>
    </w:p>
    <w:p w14:paraId="6A5777DA" w14:textId="6C55FFE6" w:rsidR="00F445E7" w:rsidRDefault="008000A6" w:rsidP="003B690B">
      <w:pPr>
        <w:pStyle w:val="ListParagraph"/>
        <w:numPr>
          <w:ilvl w:val="1"/>
          <w:numId w:val="1"/>
        </w:numPr>
        <w:tabs>
          <w:tab w:val="left" w:pos="1419"/>
          <w:tab w:val="left" w:pos="1420"/>
        </w:tabs>
        <w:ind w:right="387"/>
        <w:rPr>
          <w:sz w:val="24"/>
        </w:rPr>
      </w:pPr>
      <w:r>
        <w:rPr>
          <w:sz w:val="24"/>
        </w:rPr>
        <w:t>Complet</w:t>
      </w:r>
      <w:r>
        <w:rPr>
          <w:sz w:val="24"/>
        </w:rPr>
        <w:t xml:space="preserve">e the Seller’s Disclosure of Lead-Based Paint and/or Lead-Based </w:t>
      </w:r>
      <w:r w:rsidR="00D11A9E">
        <w:rPr>
          <w:sz w:val="24"/>
        </w:rPr>
        <w:t>Paint</w:t>
      </w:r>
      <w:r>
        <w:rPr>
          <w:sz w:val="24"/>
        </w:rPr>
        <w:t xml:space="preserve"> </w:t>
      </w:r>
      <w:r>
        <w:rPr>
          <w:spacing w:val="-3"/>
          <w:sz w:val="24"/>
        </w:rPr>
        <w:t xml:space="preserve">Hazards </w:t>
      </w:r>
      <w:r>
        <w:rPr>
          <w:sz w:val="24"/>
        </w:rPr>
        <w:t xml:space="preserve">and provide the finished copy to the </w:t>
      </w:r>
      <w:r w:rsidR="00D11A9E">
        <w:rPr>
          <w:sz w:val="24"/>
        </w:rPr>
        <w:t>Buyer.</w:t>
      </w:r>
    </w:p>
    <w:p w14:paraId="6123997A" w14:textId="6D694AEE" w:rsidR="00F445E7" w:rsidRPr="003B690B" w:rsidRDefault="008000A6" w:rsidP="003B690B">
      <w:pPr>
        <w:pStyle w:val="ListParagraph"/>
        <w:numPr>
          <w:ilvl w:val="1"/>
          <w:numId w:val="1"/>
        </w:numPr>
        <w:tabs>
          <w:tab w:val="left" w:pos="1419"/>
          <w:tab w:val="left" w:pos="1420"/>
        </w:tabs>
        <w:rPr>
          <w:sz w:val="24"/>
        </w:rPr>
      </w:pPr>
      <w:r>
        <w:rPr>
          <w:sz w:val="24"/>
        </w:rPr>
        <w:t xml:space="preserve">Furnish a copy of </w:t>
      </w:r>
      <w:r w:rsidR="00D11A9E">
        <w:rPr>
          <w:sz w:val="24"/>
        </w:rPr>
        <w:t xml:space="preserve">the </w:t>
      </w:r>
      <w:r>
        <w:rPr>
          <w:sz w:val="24"/>
        </w:rPr>
        <w:t>Pamphlet: Protect Your Family from Lead in Your Home to the Buyer.</w:t>
      </w:r>
      <w:r w:rsidR="003B690B">
        <w:rPr>
          <w:sz w:val="24"/>
        </w:rPr>
        <w:t xml:space="preserve"> </w:t>
      </w:r>
      <w:bookmarkStart w:id="0" w:name="_GoBack"/>
      <w:bookmarkEnd w:id="0"/>
      <w:r>
        <w:t>The pamphlet can be downloaded from the EPA w</w:t>
      </w:r>
      <w:r>
        <w:t xml:space="preserve">ebsite at </w:t>
      </w:r>
      <w:hyperlink r:id="rId5">
        <w:r w:rsidRPr="003B690B">
          <w:rPr>
            <w:color w:val="0070C0"/>
            <w:u w:val="single"/>
          </w:rPr>
          <w:t>http://www.epa.gov/lead/pubs/leadprot.htm</w:t>
        </w:r>
        <w:r>
          <w:t>;</w:t>
        </w:r>
      </w:hyperlink>
      <w:r>
        <w:t xml:space="preserve"> and</w:t>
      </w:r>
    </w:p>
    <w:p w14:paraId="4AD774BA" w14:textId="77777777" w:rsidR="00F445E7" w:rsidRDefault="008000A6" w:rsidP="003B690B">
      <w:pPr>
        <w:pStyle w:val="ListParagraph"/>
        <w:numPr>
          <w:ilvl w:val="1"/>
          <w:numId w:val="1"/>
        </w:numPr>
        <w:tabs>
          <w:tab w:val="left" w:pos="1419"/>
          <w:tab w:val="left" w:pos="1420"/>
        </w:tabs>
        <w:ind w:right="107"/>
        <w:rPr>
          <w:sz w:val="24"/>
        </w:rPr>
      </w:pPr>
      <w:r>
        <w:rPr>
          <w:sz w:val="24"/>
        </w:rPr>
        <w:t>E</w:t>
      </w:r>
      <w:r>
        <w:rPr>
          <w:sz w:val="24"/>
        </w:rPr>
        <w:t xml:space="preserve">nsure both the Seller and the Buyer have read through and understand the Agreement </w:t>
      </w:r>
      <w:r>
        <w:rPr>
          <w:spacing w:val="-6"/>
          <w:sz w:val="24"/>
        </w:rPr>
        <w:t xml:space="preserve">and </w:t>
      </w:r>
      <w:r>
        <w:rPr>
          <w:sz w:val="24"/>
        </w:rPr>
        <w:t>any necessary addenda. Note that there may be a</w:t>
      </w:r>
      <w:r>
        <w:rPr>
          <w:sz w:val="24"/>
        </w:rPr>
        <w:t>dditional disclosures under the Real Property Disclosure section of the Agreement.</w:t>
      </w:r>
    </w:p>
    <w:p w14:paraId="46A5DEAF" w14:textId="77777777" w:rsidR="00F445E7" w:rsidRDefault="00F445E7" w:rsidP="003B690B">
      <w:pPr>
        <w:pStyle w:val="BodyText"/>
        <w:spacing w:before="7"/>
        <w:rPr>
          <w:sz w:val="31"/>
        </w:rPr>
      </w:pPr>
    </w:p>
    <w:p w14:paraId="645CB49E" w14:textId="77777777" w:rsidR="00F445E7" w:rsidRDefault="008000A6" w:rsidP="003B690B">
      <w:pPr>
        <w:pStyle w:val="ListParagraph"/>
        <w:numPr>
          <w:ilvl w:val="0"/>
          <w:numId w:val="1"/>
        </w:numPr>
        <w:tabs>
          <w:tab w:val="left" w:pos="759"/>
          <w:tab w:val="left" w:pos="760"/>
        </w:tabs>
        <w:ind w:right="707"/>
        <w:rPr>
          <w:sz w:val="24"/>
        </w:rPr>
      </w:pPr>
      <w:r>
        <w:rPr>
          <w:sz w:val="24"/>
        </w:rPr>
        <w:t xml:space="preserve">Both parties should initial at the bottom of each page of the Agreement after reading it. </w:t>
      </w:r>
      <w:r>
        <w:rPr>
          <w:spacing w:val="-6"/>
          <w:sz w:val="24"/>
        </w:rPr>
        <w:t xml:space="preserve">The </w:t>
      </w:r>
      <w:r>
        <w:rPr>
          <w:sz w:val="24"/>
        </w:rPr>
        <w:t>witnesses do not need to witness each page.</w:t>
      </w:r>
    </w:p>
    <w:p w14:paraId="5389F175" w14:textId="77777777" w:rsidR="00F445E7" w:rsidRDefault="00F445E7" w:rsidP="003B690B">
      <w:pPr>
        <w:pStyle w:val="BodyText"/>
        <w:spacing w:before="6"/>
        <w:rPr>
          <w:sz w:val="31"/>
        </w:rPr>
      </w:pPr>
    </w:p>
    <w:p w14:paraId="6E00EA18" w14:textId="77777777" w:rsidR="00F445E7" w:rsidRDefault="008000A6" w:rsidP="003B690B">
      <w:pPr>
        <w:pStyle w:val="ListParagraph"/>
        <w:numPr>
          <w:ilvl w:val="0"/>
          <w:numId w:val="1"/>
        </w:numPr>
        <w:tabs>
          <w:tab w:val="left" w:pos="759"/>
          <w:tab w:val="left" w:pos="760"/>
        </w:tabs>
        <w:ind w:right="153"/>
        <w:rPr>
          <w:sz w:val="24"/>
        </w:rPr>
      </w:pPr>
      <w:r>
        <w:rPr>
          <w:sz w:val="24"/>
        </w:rPr>
        <w:t xml:space="preserve">Ensure both the Seller and the Buyer sign the Real Estate Purchase Agreement in front of a witness who is an independent party to the transaction. The Buyer and the Seller can sign in </w:t>
      </w:r>
      <w:r>
        <w:rPr>
          <w:spacing w:val="-4"/>
          <w:sz w:val="24"/>
        </w:rPr>
        <w:t xml:space="preserve">front </w:t>
      </w:r>
      <w:r>
        <w:rPr>
          <w:sz w:val="24"/>
        </w:rPr>
        <w:t xml:space="preserve">of different witnesses. Each witness needs to sign as the witness </w:t>
      </w:r>
      <w:r>
        <w:rPr>
          <w:sz w:val="24"/>
        </w:rPr>
        <w:t>on the execution (last) page.</w:t>
      </w:r>
    </w:p>
    <w:p w14:paraId="34219DB2" w14:textId="77777777" w:rsidR="00F445E7" w:rsidRDefault="00F445E7" w:rsidP="003B690B">
      <w:pPr>
        <w:pStyle w:val="BodyText"/>
        <w:spacing w:before="8"/>
        <w:rPr>
          <w:sz w:val="31"/>
        </w:rPr>
      </w:pPr>
    </w:p>
    <w:p w14:paraId="08AB7CA0" w14:textId="5C26625A" w:rsidR="00F445E7" w:rsidRDefault="008000A6" w:rsidP="003B690B">
      <w:pPr>
        <w:pStyle w:val="ListParagraph"/>
        <w:numPr>
          <w:ilvl w:val="0"/>
          <w:numId w:val="1"/>
        </w:numPr>
        <w:tabs>
          <w:tab w:val="left" w:pos="759"/>
          <w:tab w:val="left" w:pos="760"/>
        </w:tabs>
        <w:ind w:right="114"/>
        <w:rPr>
          <w:sz w:val="24"/>
        </w:rPr>
      </w:pPr>
      <w:r>
        <w:rPr>
          <w:sz w:val="24"/>
        </w:rPr>
        <w:t>If any terms of the Real Estate Purchase Agreement are changed by any means, including but not limited to terms crossed out or inserted by pen</w:t>
      </w:r>
      <w:r w:rsidR="00815AF9">
        <w:rPr>
          <w:sz w:val="24"/>
        </w:rPr>
        <w:t xml:space="preserve"> and/or pages being added that</w:t>
      </w:r>
      <w:r>
        <w:rPr>
          <w:sz w:val="24"/>
        </w:rPr>
        <w:t xml:space="preserve"> contain additional terms, both parties should initia</w:t>
      </w:r>
      <w:r>
        <w:rPr>
          <w:sz w:val="24"/>
        </w:rPr>
        <w:t xml:space="preserve">l near the changes to reflect their acceptance of the </w:t>
      </w:r>
      <w:r>
        <w:rPr>
          <w:spacing w:val="-6"/>
          <w:sz w:val="24"/>
        </w:rPr>
        <w:t xml:space="preserve">new </w:t>
      </w:r>
      <w:r>
        <w:rPr>
          <w:sz w:val="24"/>
        </w:rPr>
        <w:t>terms and conditions. However, the witness does not need to initial the changes.</w:t>
      </w:r>
    </w:p>
    <w:p w14:paraId="35D8BA20" w14:textId="77777777" w:rsidR="00F445E7" w:rsidRDefault="00F445E7">
      <w:pPr>
        <w:pStyle w:val="BodyText"/>
        <w:rPr>
          <w:sz w:val="20"/>
        </w:rPr>
      </w:pPr>
    </w:p>
    <w:p w14:paraId="566939B6" w14:textId="77777777" w:rsidR="00F445E7" w:rsidRDefault="00F445E7">
      <w:pPr>
        <w:pStyle w:val="BodyText"/>
        <w:rPr>
          <w:sz w:val="20"/>
        </w:rPr>
      </w:pPr>
    </w:p>
    <w:p w14:paraId="1DD7DE06" w14:textId="77777777" w:rsidR="00F445E7" w:rsidRDefault="00F445E7">
      <w:pPr>
        <w:pStyle w:val="BodyText"/>
        <w:rPr>
          <w:sz w:val="20"/>
        </w:rPr>
      </w:pPr>
    </w:p>
    <w:p w14:paraId="7D6D5D06" w14:textId="77777777" w:rsidR="00F445E7" w:rsidRDefault="00F445E7">
      <w:pPr>
        <w:pStyle w:val="BodyText"/>
        <w:rPr>
          <w:sz w:val="20"/>
        </w:rPr>
      </w:pPr>
    </w:p>
    <w:p w14:paraId="6796AF01" w14:textId="77777777" w:rsidR="00F445E7" w:rsidRDefault="00F445E7">
      <w:pPr>
        <w:pStyle w:val="BodyText"/>
        <w:rPr>
          <w:sz w:val="20"/>
        </w:rPr>
      </w:pPr>
    </w:p>
    <w:p w14:paraId="1AC4B513" w14:textId="77777777" w:rsidR="00F445E7" w:rsidRDefault="00F445E7">
      <w:pPr>
        <w:pStyle w:val="BodyText"/>
        <w:rPr>
          <w:sz w:val="20"/>
        </w:rPr>
      </w:pPr>
    </w:p>
    <w:p w14:paraId="0763491C" w14:textId="77777777" w:rsidR="00F445E7" w:rsidRDefault="00F445E7">
      <w:pPr>
        <w:rPr>
          <w:sz w:val="20"/>
        </w:rPr>
        <w:sectPr w:rsidR="00F445E7" w:rsidSect="00C478C1">
          <w:type w:val="continuous"/>
          <w:pgSz w:w="12240" w:h="15840"/>
          <w:pgMar w:top="1140" w:right="1000" w:bottom="280" w:left="980" w:header="720" w:footer="720" w:gutter="0"/>
          <w:cols w:space="720"/>
        </w:sectPr>
      </w:pPr>
    </w:p>
    <w:p w14:paraId="06F87B49" w14:textId="77777777" w:rsidR="00F445E7" w:rsidRDefault="008000A6">
      <w:pPr>
        <w:pStyle w:val="BodyText"/>
        <w:tabs>
          <w:tab w:val="left" w:pos="2307"/>
          <w:tab w:val="left" w:pos="2967"/>
          <w:tab w:val="left" w:pos="4680"/>
          <w:tab w:val="left" w:pos="5340"/>
        </w:tabs>
        <w:spacing w:before="225" w:line="275" w:lineRule="exact"/>
        <w:ind w:left="140"/>
      </w:pPr>
      <w:r>
        <w:lastRenderedPageBreak/>
        <w:t>Initial of Seller</w:t>
      </w:r>
      <w:r>
        <w:rPr>
          <w:u w:val="single"/>
        </w:rPr>
        <w:t xml:space="preserve"> </w:t>
      </w:r>
      <w:r>
        <w:rPr>
          <w:u w:val="single"/>
        </w:rPr>
        <w:tab/>
      </w:r>
      <w:r>
        <w:rPr>
          <w:u w:val="single"/>
        </w:rPr>
        <w:tab/>
      </w:r>
      <w:r>
        <w:t xml:space="preserve">and Buyer </w:t>
      </w:r>
      <w:r>
        <w:rPr>
          <w:u w:val="single"/>
        </w:rPr>
        <w:t xml:space="preserve"> </w:t>
      </w:r>
      <w:r>
        <w:rPr>
          <w:u w:val="single"/>
        </w:rPr>
        <w:tab/>
        <w:t xml:space="preserve"> </w:t>
      </w:r>
      <w:r>
        <w:rPr>
          <w:u w:val="single"/>
        </w:rPr>
        <w:tab/>
      </w:r>
    </w:p>
    <w:p w14:paraId="2686AAF0" w14:textId="77777777" w:rsidR="00F445E7" w:rsidRDefault="008000A6">
      <w:pPr>
        <w:pStyle w:val="BodyText"/>
        <w:spacing w:before="225"/>
        <w:ind w:left="100"/>
      </w:pPr>
      <w:r>
        <w:br w:type="column"/>
      </w:r>
      <w:r>
        <w:lastRenderedPageBreak/>
        <w:t>Page 1 of 1</w:t>
      </w:r>
    </w:p>
    <w:sectPr w:rsidR="00F445E7">
      <w:type w:val="continuous"/>
      <w:pgSz w:w="12240" w:h="15840"/>
      <w:pgMar w:top="1140" w:right="1000" w:bottom="280" w:left="980" w:header="720" w:footer="720" w:gutter="0"/>
      <w:cols w:num="2" w:space="720" w:equalWidth="0">
        <w:col w:w="5381" w:space="3572"/>
        <w:col w:w="13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47F4"/>
    <w:multiLevelType w:val="hybridMultilevel"/>
    <w:tmpl w:val="61323788"/>
    <w:lvl w:ilvl="0" w:tplc="C2A6F45C">
      <w:start w:val="1"/>
      <w:numFmt w:val="decimal"/>
      <w:lvlText w:val="%1."/>
      <w:lvlJc w:val="left"/>
      <w:pPr>
        <w:ind w:left="760" w:hanging="660"/>
        <w:jc w:val="left"/>
      </w:pPr>
      <w:rPr>
        <w:rFonts w:ascii="Times New Roman" w:eastAsia="Times New Roman" w:hAnsi="Times New Roman" w:cs="Times New Roman" w:hint="default"/>
        <w:w w:val="100"/>
        <w:sz w:val="24"/>
        <w:szCs w:val="24"/>
      </w:rPr>
    </w:lvl>
    <w:lvl w:ilvl="1" w:tplc="05D03D9C">
      <w:numFmt w:val="bullet"/>
      <w:lvlText w:val="-"/>
      <w:lvlJc w:val="left"/>
      <w:pPr>
        <w:ind w:left="1420" w:hanging="660"/>
      </w:pPr>
      <w:rPr>
        <w:rFonts w:ascii="Times New Roman" w:eastAsia="Times New Roman" w:hAnsi="Times New Roman" w:cs="Times New Roman" w:hint="default"/>
        <w:w w:val="100"/>
        <w:sz w:val="24"/>
        <w:szCs w:val="24"/>
      </w:rPr>
    </w:lvl>
    <w:lvl w:ilvl="2" w:tplc="0280578C">
      <w:numFmt w:val="bullet"/>
      <w:lvlText w:val="•"/>
      <w:lvlJc w:val="left"/>
      <w:pPr>
        <w:ind w:left="2402" w:hanging="660"/>
      </w:pPr>
      <w:rPr>
        <w:rFonts w:hint="default"/>
      </w:rPr>
    </w:lvl>
    <w:lvl w:ilvl="3" w:tplc="1E180A00">
      <w:numFmt w:val="bullet"/>
      <w:lvlText w:val="•"/>
      <w:lvlJc w:val="left"/>
      <w:pPr>
        <w:ind w:left="3384" w:hanging="660"/>
      </w:pPr>
      <w:rPr>
        <w:rFonts w:hint="default"/>
      </w:rPr>
    </w:lvl>
    <w:lvl w:ilvl="4" w:tplc="065AF2AA">
      <w:numFmt w:val="bullet"/>
      <w:lvlText w:val="•"/>
      <w:lvlJc w:val="left"/>
      <w:pPr>
        <w:ind w:left="4366" w:hanging="660"/>
      </w:pPr>
      <w:rPr>
        <w:rFonts w:hint="default"/>
      </w:rPr>
    </w:lvl>
    <w:lvl w:ilvl="5" w:tplc="03D090DE">
      <w:numFmt w:val="bullet"/>
      <w:lvlText w:val="•"/>
      <w:lvlJc w:val="left"/>
      <w:pPr>
        <w:ind w:left="5348" w:hanging="660"/>
      </w:pPr>
      <w:rPr>
        <w:rFonts w:hint="default"/>
      </w:rPr>
    </w:lvl>
    <w:lvl w:ilvl="6" w:tplc="3F8AF56C">
      <w:numFmt w:val="bullet"/>
      <w:lvlText w:val="•"/>
      <w:lvlJc w:val="left"/>
      <w:pPr>
        <w:ind w:left="6331" w:hanging="660"/>
      </w:pPr>
      <w:rPr>
        <w:rFonts w:hint="default"/>
      </w:rPr>
    </w:lvl>
    <w:lvl w:ilvl="7" w:tplc="BD60C40A">
      <w:numFmt w:val="bullet"/>
      <w:lvlText w:val="•"/>
      <w:lvlJc w:val="left"/>
      <w:pPr>
        <w:ind w:left="7313" w:hanging="660"/>
      </w:pPr>
      <w:rPr>
        <w:rFonts w:hint="default"/>
      </w:rPr>
    </w:lvl>
    <w:lvl w:ilvl="8" w:tplc="66461CEA">
      <w:numFmt w:val="bullet"/>
      <w:lvlText w:val="•"/>
      <w:lvlJc w:val="left"/>
      <w:pPr>
        <w:ind w:left="8295" w:hanging="6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445E7"/>
    <w:rsid w:val="003B690B"/>
    <w:rsid w:val="008000A6"/>
    <w:rsid w:val="00815AF9"/>
    <w:rsid w:val="00C478C1"/>
    <w:rsid w:val="00D11A9E"/>
    <w:rsid w:val="00F4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A9DEA"/>
  <w15:docId w15:val="{BC7AFFF6-5299-4557-9A9D-9E4C020C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60" w:hanging="6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lead/pubs/leadprot.htm%3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Daly</cp:lastModifiedBy>
  <cp:revision>4</cp:revision>
  <dcterms:created xsi:type="dcterms:W3CDTF">2024-03-08T16:10:00Z</dcterms:created>
  <dcterms:modified xsi:type="dcterms:W3CDTF">2024-03-15T15:02:00Z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LastSaved">
    <vt:filetime>2024-02-16T00:00:00Z</vt:filetime>
  </property>
  <property fmtid="{D5CDD505-2E9C-101B-9397-08002B2CF9AE}" pid="4" name="GrammarlyDocumentId">
    <vt:lpwstr>06360a294d1144b798b6623fbd98c81d0bcabc408022fe0e7d1fa4e1c22aebd3</vt:lpwstr>
  </property>
</Properties>
</file>