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center"/>
        <w:rPr>
          <w:rFonts w:ascii="Microsoft YaHei UI Light" w:hAnsi="Microsoft YaHei UI Light" w:eastAsia="Microsoft YaHei UI Light" w:cs="Microsoft YaHei UI Light"/>
          <w:sz w:val="36"/>
          <w:szCs w:val="36"/>
          <w:lang w:val="en-us" w:eastAsia="zh-cn" w:bidi="ar-sa"/>
        </w:rPr>
      </w:pPr>
      <w:r>
        <w:rPr>
          <w:rFonts w:ascii="Microsoft YaHei UI Light" w:hAnsi="Microsoft YaHei UI Light" w:eastAsia="Microsoft YaHei UI Light" w:cs="Microsoft YaHei UI Light"/>
          <w:sz w:val="36"/>
          <w:szCs w:val="36"/>
          <w:lang w:val="en-us" w:eastAsia="zh-cn" w:bidi="ar-sa"/>
        </w:rPr>
        <w:t>THE GOSPEL OF JOHN WEEK 12</w:t>
      </w:r>
    </w:p>
    <w:p>
      <w:pPr>
        <w:spacing w:before="720"/>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lang w:val="en-us"/>
        </w:rPr>
      </w:pPr>
      <w:r>
        <w:rPr>
          <w:rFonts w:ascii="Microsoft YaHei UI Light" w:hAnsi="Microsoft YaHei UI Light" w:eastAsia="Microsoft YaHei UI Light" w:cs="Microsoft YaHei UI Light"/>
          <w:b/>
          <w:bCs/>
          <w:sz w:val="36"/>
          <w:szCs w:val="36"/>
          <w:lang w:val="en-us" w:eastAsia="zh-cn" w:bidi="ar-sa"/>
        </w:rPr>
        <w:t>Lord, inspire us to read your Scriptures and to meditate upon them day and night. We beg you to give us real understanding of what we need, that we in turn may put its precepts into practice. Yet we know that understanding and good intentions are worthless, unless rooted in your graceful love. So we ask that the words of Scriptures may also be not just signs on a page, but channels of grace into our hearts.</w:t>
      </w:r>
      <w:r>
        <w:rPr>
          <w:rFonts w:ascii="Microsoft YaHei UI Light" w:hAnsi="Microsoft YaHei UI Light" w:eastAsia="Microsoft YaHei UI Light" w:cs="Microsoft YaHei UI Light"/>
          <w:b/>
          <w:bCs/>
          <w:sz w:val="36"/>
          <w:szCs w:val="36"/>
          <w:vertAlign w:val="superscript"/>
          <w:lang w:val="en-us" w:eastAsia="zh-cn" w:bidi="ar-sa"/>
        </w:rPr>
      </w:r>
      <w:r>
        <w:rPr>
          <w:rFonts w:ascii="Microsoft YaHei UI Light" w:hAnsi="Microsoft YaHei UI Light" w:eastAsia="Microsoft YaHei UI Light" w:cs="Microsoft YaHei UI Light"/>
          <w:b/>
          <w:bCs/>
          <w:sz w:val="36"/>
          <w:szCs w:val="36"/>
          <w:vertAlign w:val="superscript"/>
          <w:lang w:val="en-us" w:eastAsia="zh-cn" w:bidi="ar-sa"/>
        </w:rPr>
        <w:footnoteReference w:id="1"/>
      </w:r>
      <w:r>
        <w:rPr>
          <w:rFonts w:ascii="Microsoft YaHei UI Light" w:hAnsi="Microsoft YaHei UI Light" w:eastAsia="Microsoft YaHei UI Light" w:cs="Microsoft YaHei UI Light"/>
          <w:sz w:val="36"/>
          <w:szCs w:val="36"/>
          <w:lang w:val="en-us"/>
        </w:rPr>
      </w:r>
    </w:p>
    <w:p>
      <w:pPr>
        <w:spacing w:before="720"/>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lang w:val="en-us"/>
        </w:rPr>
        <w:t>John 15:1–17</w:t>
      </w:r>
      <w:r>
        <w:rPr>
          <w:rFonts w:ascii="Microsoft YaHei UI Light" w:hAnsi="Microsoft YaHei UI Light" w:eastAsia="Microsoft YaHei UI Light" w:cs="Microsoft YaHei UI Light"/>
          <w:sz w:val="36"/>
          <w:szCs w:val="36"/>
        </w:rPr>
      </w:r>
    </w:p>
    <w:p>
      <w:pPr>
        <w:spacing w:before="180"/>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i/>
          <w:iCs/>
          <w:sz w:val="36"/>
          <w:szCs w:val="36"/>
          <w:lang w:val="en-us"/>
        </w:rPr>
        <w:t>Abide Fruitfully in Christ or Burn</w:t>
      </w:r>
      <w:r>
        <w:rPr>
          <w:rFonts w:ascii="Microsoft YaHei UI Light" w:hAnsi="Microsoft YaHei UI Light" w:eastAsia="Microsoft YaHei UI Light" w:cs="Microsoft YaHei UI Light"/>
          <w:sz w:val="36"/>
          <w:szCs w:val="36"/>
        </w:rPr>
      </w:r>
    </w:p>
    <w:p>
      <w:pPr>
        <w:spacing w:before="36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lang w:val="en-us"/>
        </w:rPr>
        <w:t>1. In the last phrase of chapter 14, Jesus interrupts his four-chapter dialogue with the Twelve and says, “Rise, let us go hence.” Jesus often uses the physical surroundings to illustrate his teaching (cf. Mk 11:20–21; Mt 4:18–19). How might he have used the environs around Jerusalem to demonstrate his teaching on the vine and the branches?</w:t>
      </w:r>
      <w:r>
        <w:rPr>
          <w:rFonts w:ascii="Microsoft YaHei UI Light" w:hAnsi="Microsoft YaHei UI Light" w:eastAsia="Microsoft YaHei UI Light" w:cs="Microsoft YaHei UI Light"/>
          <w:sz w:val="36"/>
          <w:szCs w:val="36"/>
        </w:rPr>
      </w:r>
    </w:p>
    <w:p>
      <w:pPr>
        <w:spacing w:before="18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w:t>
      </w:r>
      <w:r>
        <w:rPr>
          <w:rFonts w:ascii="Microsoft YaHei UI Light" w:hAnsi="Microsoft YaHei UI Light" w:eastAsia="Microsoft YaHei UI Light" w:cs="Microsoft YaHei UI Light"/>
          <w:sz w:val="36"/>
          <w:szCs w:val="36"/>
          <w:lang w:val="en-us"/>
        </w:rPr>
        <w:t xml:space="preserve"> </w:t>
      </w:r>
      <w:r>
        <w:rPr>
          <w:rFonts w:ascii="Microsoft YaHei UI Light" w:hAnsi="Microsoft YaHei UI Light" w:eastAsia="Microsoft YaHei UI Light" w:cs="Microsoft YaHei UI Light"/>
          <w:smallCaps/>
          <w:sz w:val="36"/>
          <w:szCs w:val="36"/>
          <w:lang w:val="en-us"/>
        </w:rPr>
        <w:t>Historical note:</w:t>
      </w:r>
      <w:r>
        <w:rPr>
          <w:rFonts w:ascii="Microsoft YaHei UI Light" w:hAnsi="Microsoft YaHei UI Light" w:eastAsia="Microsoft YaHei UI Light" w:cs="Microsoft YaHei UI Light"/>
          <w:sz w:val="36"/>
          <w:szCs w:val="36"/>
          <w:lang w:val="en-us"/>
        </w:rPr>
        <w:t xml:space="preserve"> “It has been the belief of many expositors that our Lord gave this chapter in a discourse down in the Valley of Kidron or on the side of the Mount of Olives, because we know that at that time there was a vineyard in that area which covered that valley. We also know that it was full moon because it was the time of the Passover. He may well have spoken these words as they walked through the vineyard. It would have been an appropriate place.</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lang w:val="en-us"/>
        </w:rPr>
        <w:t>“Another suggestion has been made … that that night He went by the temple, following the Law as He so meticulously did. The gates would have been open during the Passover nights. Those beautiful gates of the temple were actually a tourist attraction. They had been forged in Greece, floated across the Hellespont, then brought to Jerusalem, and placed in Herod’s temple there. The gates were made of bronze and wrought into them was a golden vine. That the vine symbolizes the nation Israel is apparent from the following verses: ‘Thou hast brought a vine out of Egypt: thou hast cast out the heathen, and planted it. Thou preparedst room for it, and didst cause it to take deep root, and it filled the land’ (Ps. 80:8–9).”</w:t>
      </w:r>
      <w:r>
        <w:rPr>
          <w:rFonts w:ascii="Microsoft YaHei UI Light" w:hAnsi="Microsoft YaHei UI Light" w:eastAsia="Microsoft YaHei UI Light" w:cs="Microsoft YaHei UI Light"/>
          <w:sz w:val="36"/>
          <w:szCs w:val="36"/>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lang w:val="en-us"/>
        </w:rPr>
      </w:pPr>
      <w:r>
        <w:rPr>
          <w:rFonts w:ascii="Microsoft YaHei UI Light" w:hAnsi="Microsoft YaHei UI Light" w:eastAsia="Microsoft YaHei UI Light" w:cs="Microsoft YaHei UI Light"/>
          <w:b/>
          <w:bCs/>
          <w:sz w:val="36"/>
          <w:szCs w:val="36"/>
          <w:lang w:val="en-us"/>
        </w:rPr>
        <w:t>15:1.</w:t>
      </w:r>
      <w:r>
        <w:rPr>
          <w:rFonts w:ascii="Microsoft YaHei UI Light" w:hAnsi="Microsoft YaHei UI Light" w:eastAsia="Microsoft YaHei UI Light" w:cs="Microsoft YaHei UI Light"/>
          <w:sz w:val="36"/>
          <w:szCs w:val="36"/>
          <w:lang w:val="en-us"/>
        </w:rPr>
        <w:t xml:space="preserve"> The comparison of the chosen people with a vine was used in the Old Testament: Psalm 80 speaks of the uprooting of the vine in Egypt and its replanting in another land; and in Isaiah’s Song of the Vineyard (5:1–7) God complains that despite the care and love he has lavished on it, his vineyard has yielded only wild grapes. Jesus previously used this imagery in his parable about the murderous tenants (Mt 21:33–43) to signify the Jews’ rejection of the Son and the calling of the Gentiles. But here the comparison has a different, more personal meaning: Christ explains that he himself is the true vine, because the old vine, the original chosen people, has been succeeded by the new vine, the Church, whose head is Christ (cf. 1 Cor 3:9). To be fruitful one must be joined to the new, true vine, Christ: it is no longer a matter of simply belonging to a community but of living the life of Christ, the life of grace, which is the nourishment which passes life on to the believer and enables him to yield fruits of eternal life. This image of the vine also helps us understand the unity of the Church, Christ’s mystical body, in which all the members are intimately united with the head and thereby are also united to one another (1 Cor 12:12–26; </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lang w:val="en-us"/>
        </w:rPr>
        <w:t xml:space="preserve">Rom 12:4–5  </w:t>
      </w:r>
      <w:r>
        <w:rPr>
          <w:rFonts w:ascii="Microsoft YaHei UI Light" w:hAnsi="Microsoft YaHei UI Light" w:eastAsia="Microsoft YaHei UI Light" w:cs="Microsoft YaHei UI Light"/>
          <w:sz w:val="36"/>
          <w:szCs w:val="36"/>
          <w:vertAlign w:val="superscript"/>
          <w:lang w:val="en-us"/>
        </w:rPr>
        <w:t>4 </w:t>
      </w:r>
      <w:r>
        <w:rPr>
          <w:rFonts w:ascii="Microsoft YaHei UI Light" w:hAnsi="Microsoft YaHei UI Light" w:eastAsia="Microsoft YaHei UI Light" w:cs="Microsoft YaHei UI Light"/>
          <w:sz w:val="36"/>
          <w:szCs w:val="36"/>
          <w:lang w:val="en-us"/>
        </w:rPr>
        <w:t xml:space="preserve">¶ For as in one body we have many members, and all the members do not have the same function, </w:t>
      </w:r>
      <w:r>
        <w:rPr>
          <w:rFonts w:ascii="Microsoft YaHei UI Light" w:hAnsi="Microsoft YaHei UI Light" w:eastAsia="Microsoft YaHei UI Light" w:cs="Microsoft YaHei UI Light"/>
          <w:sz w:val="36"/>
          <w:szCs w:val="36"/>
          <w:vertAlign w:val="superscript"/>
          <w:lang w:val="en-us"/>
        </w:rPr>
        <w:t>5 </w:t>
      </w:r>
      <w:r>
        <w:rPr>
          <w:rFonts w:ascii="Microsoft YaHei UI Light" w:hAnsi="Microsoft YaHei UI Light" w:eastAsia="Microsoft YaHei UI Light" w:cs="Microsoft YaHei UI Light"/>
          <w:sz w:val="36"/>
          <w:szCs w:val="36"/>
          <w:lang w:val="en-us"/>
        </w:rPr>
        <w:t xml:space="preserve">¶ so we, though many, are one body in Christ, and individually members one of another. </w:t>
      </w:r>
      <w:r>
        <w:rPr>
          <w:rFonts w:ascii="Microsoft YaHei UI Light" w:hAnsi="Microsoft YaHei UI Light" w:eastAsia="Microsoft YaHei UI Light" w:cs="Microsoft YaHei UI Light"/>
          <w:sz w:val="36"/>
          <w:szCs w:val="36"/>
          <w:vertAlign w:val="superscript"/>
          <w:lang w:val="en-us"/>
        </w:rPr>
        <w:t>6 </w:t>
      </w:r>
      <w:r>
        <w:rPr>
          <w:rFonts w:ascii="Microsoft YaHei UI Light" w:hAnsi="Microsoft YaHei UI Light" w:eastAsia="Microsoft YaHei UI Light" w:cs="Microsoft YaHei UI Light"/>
          <w:sz w:val="36"/>
          <w:szCs w:val="36"/>
          <w:lang w:val="en-us"/>
        </w:rPr>
        <w:t xml:space="preserve">¶ Having gifts that differ according to the grace given to us, let us use them: if prophecy, in proportion to our faith; </w:t>
      </w:r>
      <w:r>
        <w:rPr>
          <w:rFonts w:ascii="Microsoft YaHei UI Light" w:hAnsi="Microsoft YaHei UI Light" w:eastAsia="Microsoft YaHei UI Light" w:cs="Microsoft YaHei UI Light"/>
          <w:sz w:val="36"/>
          <w:szCs w:val="36"/>
          <w:vertAlign w:val="superscript"/>
          <w:lang w:val="en-us"/>
        </w:rPr>
        <w:t>7 </w:t>
      </w:r>
      <w:r>
        <w:rPr>
          <w:rFonts w:ascii="Microsoft YaHei UI Light" w:hAnsi="Microsoft YaHei UI Light" w:eastAsia="Microsoft YaHei UI Light" w:cs="Microsoft YaHei UI Light"/>
          <w:sz w:val="36"/>
          <w:szCs w:val="36"/>
          <w:lang w:val="en-us"/>
        </w:rPr>
        <w:t xml:space="preserve">if service, in our serving; he who teaches, in his teaching; </w:t>
      </w:r>
      <w:r>
        <w:rPr>
          <w:rFonts w:ascii="Microsoft YaHei UI Light" w:hAnsi="Microsoft YaHei UI Light" w:eastAsia="Microsoft YaHei UI Light" w:cs="Microsoft YaHei UI Light"/>
          <w:sz w:val="36"/>
          <w:szCs w:val="36"/>
          <w:vertAlign w:val="superscript"/>
          <w:lang w:val="en-us"/>
        </w:rPr>
        <w:t>8 </w:t>
      </w:r>
      <w:r>
        <w:rPr>
          <w:rFonts w:ascii="Microsoft YaHei UI Light" w:hAnsi="Microsoft YaHei UI Light" w:eastAsia="Microsoft YaHei UI Light" w:cs="Microsoft YaHei UI Light"/>
          <w:sz w:val="36"/>
          <w:szCs w:val="36"/>
          <w:lang w:val="en-us"/>
        </w:rPr>
        <w:t xml:space="preserve">he who exhorts, in his exhortation; he who contributes, in liberality; he who gives aid, with zeal; he who does acts of mercy, with cheerfulness. </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2"/>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lang w:val="en-us"/>
        </w:rPr>
        <w:t xml:space="preserve"> Eph 4:15–16).</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3"/>
      </w:r>
    </w:p>
    <w:p>
      <w:pPr>
        <w:spacing w:before="18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15:1–11</w:t>
      </w:r>
      <w:r>
        <w:rPr>
          <w:rFonts w:ascii="Microsoft YaHei UI Light" w:hAnsi="Microsoft YaHei UI Light" w:eastAsia="Microsoft YaHei UI Light" w:cs="Microsoft YaHei UI Light"/>
          <w:sz w:val="36"/>
          <w:szCs w:val="36"/>
          <w:lang w:val="en-us"/>
        </w:rPr>
        <w:t xml:space="preserve"> The metaphor of the vine underscores Jesus’ union with the disciples and their absolute dependency on him for life and growth. It assumes that because the vinedresser (the Father) seeks an abundant harvest, he trims back the vine stock (Jesus) to rid it of fruitless branches (apostates) and to invigorate the other branches (disciples) to become even more fruitful. ● Several times the OT depicts Israel as a vineyard planted and tended by the Lord (Ps 80:8–16; Is 5:1–7; 27:2–6; Jer 2:21). When Jesus clothes himself with this same imagery, he is stressing that Israel finds its life and vigor no longer in the Old Covenant but in the New Covenant ratified by its Messiah. ● The delivery of this sermon during the Last Supper gives it a sacramental coloring. Note how the invitation to “abide” in Christ (15:4–5) picks up a theme from the Bread of Life discourse (6:56) and how the Synoptic Gospels make an explicit link between the “fruit of the vine” and the eucharistic meal (Mt 26:29; Mk 14:25; Lk 22:18) (CCC 787).</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15:2 he prunes:</w:t>
      </w:r>
      <w:r>
        <w:rPr>
          <w:rFonts w:ascii="Microsoft YaHei UI Light" w:hAnsi="Microsoft YaHei UI Light" w:eastAsia="Microsoft YaHei UI Light" w:cs="Microsoft YaHei UI Light"/>
          <w:sz w:val="36"/>
          <w:szCs w:val="36"/>
          <w:lang w:val="en-us"/>
        </w:rPr>
        <w:t xml:space="preserve"> The Father must trim away our selfishness to increase our growth in love. Pruning probably refers to the trials and fatherly discipline we experience in this life (Heb 12:5–11; Jas 1:2–4; 1 Pet 1:6–7).</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b/>
          <w:bCs/>
          <w:sz w:val="36"/>
          <w:szCs w:val="36"/>
          <w:lang w:val="en-us"/>
        </w:rPr>
        <w:t>15:5 bears much fruit:</w:t>
      </w:r>
      <w:r>
        <w:rPr>
          <w:rFonts w:ascii="Microsoft YaHei UI Light" w:hAnsi="Microsoft YaHei UI Light" w:eastAsia="Microsoft YaHei UI Light" w:cs="Microsoft YaHei UI Light"/>
          <w:sz w:val="36"/>
          <w:szCs w:val="36"/>
          <w:lang w:val="en-us"/>
        </w:rPr>
        <w:t xml:space="preserve"> The fruits of righteousness are borne in us by the Spirit (Gal 5:22–23; CCC 737). Without this life-giving sap, which flows into the branches through the vine, we can do absolutely nothing to please the Father or move closer to salvation (CCC 308, 2074).</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4"/>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b/>
          <w:bCs/>
          <w:sz w:val="36"/>
          <w:szCs w:val="36"/>
          <w:lang w:val="en-us"/>
        </w:rPr>
        <w:t>15:6.</w:t>
      </w:r>
      <w:r>
        <w:rPr>
          <w:rFonts w:ascii="Microsoft YaHei UI Light" w:hAnsi="Microsoft YaHei UI Light" w:eastAsia="Microsoft YaHei UI Light" w:cs="Microsoft YaHei UI Light"/>
          <w:sz w:val="36"/>
          <w:szCs w:val="36"/>
          <w:lang w:val="en-us"/>
        </w:rPr>
        <w:t xml:space="preserve"> If a person is not united to Christ by means of grace he will ultimately meet the same fate as the dead branches—fire. There is a clear parallelism with other images our Lord uses—the parables of the sound tree and the bad tree (Mt 7:15–20), the dragnet (Mt 13:47–50), and the invitation to the wedding (Mt 22:11–14), etc. Here is how St Augustine comments on this passage: “The wood of the vine is the more contemptible if it does not abide in the vine, and the more glorious if it does abide.… For, being cut off it is profitable neither for the vinedresser nor for the carpenter. For one of these only is it useful—the vine or the fire. If it is not in the vine, it goes to the fire; to avoid going to the fire it must be joined to the vine” (</w:t>
      </w:r>
      <w:r>
        <w:rPr>
          <w:rFonts w:ascii="Microsoft YaHei UI Light" w:hAnsi="Microsoft YaHei UI Light" w:eastAsia="Microsoft YaHei UI Light" w:cs="Microsoft YaHei UI Light"/>
          <w:i/>
          <w:iCs/>
          <w:sz w:val="36"/>
          <w:szCs w:val="36"/>
          <w:lang w:val="en-us"/>
        </w:rPr>
        <w:t>In Ioann. Evang.</w:t>
      </w:r>
      <w:r>
        <w:rPr>
          <w:rFonts w:ascii="Microsoft YaHei UI Light" w:hAnsi="Microsoft YaHei UI Light" w:eastAsia="Microsoft YaHei UI Light" w:cs="Microsoft YaHei UI Light"/>
          <w:sz w:val="36"/>
          <w:szCs w:val="36"/>
          <w:lang w:val="en-us"/>
        </w:rPr>
        <w:t>, 81, 3).</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5"/>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mallCaps/>
          <w:sz w:val="36"/>
          <w:szCs w:val="36"/>
          <w:lang w:val="en-us"/>
        </w:rPr>
        <w:t>Augustine</w:t>
      </w:r>
      <w:r>
        <w:rPr>
          <w:rFonts w:ascii="Microsoft YaHei UI Light" w:hAnsi="Microsoft YaHei UI Light" w:eastAsia="Microsoft YaHei UI Light" w:cs="Microsoft YaHei UI Light"/>
          <w:sz w:val="36"/>
          <w:szCs w:val="36"/>
          <w:lang w:val="en-us"/>
        </w:rPr>
        <w:t xml:space="preserve">. (Tract. lxxxi. 3.) But lest any should suppose that a branch could bring forth a little fruit of itself, He adds, </w:t>
      </w:r>
      <w:r>
        <w:rPr>
          <w:rFonts w:ascii="Microsoft YaHei UI Light" w:hAnsi="Microsoft YaHei UI Light" w:eastAsia="Microsoft YaHei UI Light" w:cs="Microsoft YaHei UI Light"/>
          <w:i/>
          <w:iCs/>
          <w:sz w:val="36"/>
          <w:szCs w:val="36"/>
          <w:lang w:val="en-us"/>
        </w:rPr>
        <w:t>For without Me ye can do nothing</w:t>
      </w:r>
      <w:r>
        <w:rPr>
          <w:rFonts w:ascii="Microsoft YaHei UI Light" w:hAnsi="Microsoft YaHei UI Light" w:eastAsia="Microsoft YaHei UI Light" w:cs="Microsoft YaHei UI Light"/>
          <w:sz w:val="36"/>
          <w:szCs w:val="36"/>
          <w:lang w:val="en-us"/>
        </w:rPr>
        <w:t>. He does not say, ye can do little. Unless the branch abides in the vine, and lives from the root, it can bear no fruit whatever. Christ, though He would not be the vine, except He were man, yet could not give this grace to the branches, except He were God.</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6"/>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mallCaps/>
          <w:sz w:val="36"/>
          <w:szCs w:val="36"/>
          <w:lang w:val="en-us"/>
        </w:rPr>
        <w:t>Augustine</w:t>
      </w:r>
      <w:r>
        <w:rPr>
          <w:rFonts w:ascii="Microsoft YaHei UI Light" w:hAnsi="Microsoft YaHei UI Light" w:eastAsia="Microsoft YaHei UI Light" w:cs="Microsoft YaHei UI Light"/>
          <w:sz w:val="36"/>
          <w:szCs w:val="36"/>
          <w:lang w:val="en-us"/>
        </w:rPr>
        <w:t>. (Tract. lxxxi. 3.) For the branches of the vine are as contemptible, if they abide not in the vine, as they are glorious, if they abide. One of the two the branch must be in, either the vine, or the fire: if it is not in the vine, it will be in the fire.</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7"/>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lang w:val="en-us"/>
        </w:rPr>
      </w:pPr>
      <w:r>
        <w:rPr>
          <w:rFonts w:ascii="Microsoft YaHei UI Light" w:hAnsi="Microsoft YaHei UI Light" w:eastAsia="Microsoft YaHei UI Light" w:cs="Microsoft YaHei UI Light"/>
          <w:b/>
          <w:bCs/>
          <w:sz w:val="36"/>
          <w:szCs w:val="36"/>
          <w:lang w:val="en-us"/>
        </w:rPr>
        <w:t>15:10 my Father’s commandments:</w:t>
      </w:r>
      <w:r>
        <w:rPr>
          <w:rFonts w:ascii="Microsoft YaHei UI Light" w:hAnsi="Microsoft YaHei UI Light" w:eastAsia="Microsoft YaHei UI Light" w:cs="Microsoft YaHei UI Light"/>
          <w:sz w:val="36"/>
          <w:szCs w:val="36"/>
          <w:lang w:val="en-us"/>
        </w:rPr>
        <w:t xml:space="preserve"> Love for the Father expresses itself through obeying his commandments as Jesus did (1 Jn 3:23–24). It was common in ancient society for younger siblings to look up to the eldest brother for guidance on how to honor and obey one’s parents.</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lang w:val="en-us"/>
        </w:rPr>
        <w:t xml:space="preserve">When we decide to be docile and follow the will of God, hitherto unimagined horizons open up before us […]. There is nothing better than, recognizing that Love has made us slaves of God. From the moment we recognize this we cease being slaves and become friends, sons” (St Josemaría Escrivá, </w:t>
      </w:r>
      <w:r>
        <w:rPr>
          <w:rFonts w:ascii="Microsoft YaHei UI Light" w:hAnsi="Microsoft YaHei UI Light" w:eastAsia="Microsoft YaHei UI Light" w:cs="Microsoft YaHei UI Light"/>
          <w:i/>
          <w:iCs/>
          <w:sz w:val="36"/>
          <w:szCs w:val="36"/>
          <w:lang w:val="en-us"/>
        </w:rPr>
        <w:t>Friends of God</w:t>
      </w:r>
      <w:r>
        <w:rPr>
          <w:rFonts w:ascii="Microsoft YaHei UI Light" w:hAnsi="Microsoft YaHei UI Light" w:eastAsia="Microsoft YaHei UI Light" w:cs="Microsoft YaHei UI Light"/>
          <w:sz w:val="36"/>
          <w:szCs w:val="36"/>
          <w:lang w:val="en-us"/>
        </w:rPr>
        <w:t>, 35]</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8"/>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b/>
          <w:bCs/>
          <w:sz w:val="36"/>
          <w:szCs w:val="36"/>
          <w:lang w:val="en-us"/>
        </w:rPr>
        <w:t>15:13 Greater love:</w:t>
      </w:r>
      <w:r>
        <w:rPr>
          <w:rFonts w:ascii="Microsoft YaHei UI Light" w:hAnsi="Microsoft YaHei UI Light" w:eastAsia="Microsoft YaHei UI Light" w:cs="Microsoft YaHei UI Light"/>
          <w:sz w:val="36"/>
          <w:szCs w:val="36"/>
          <w:lang w:val="en-us"/>
        </w:rPr>
        <w:t xml:space="preserve"> The fullest expression of love consists in pouring out our lives to God as Jesus Christ did on the Cross (1 Jn 3:16)</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9"/>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mallCaps/>
          <w:sz w:val="36"/>
          <w:szCs w:val="36"/>
          <w:lang w:val="en-us"/>
        </w:rPr>
        <w:t>Augustine</w:t>
      </w:r>
      <w:r>
        <w:rPr>
          <w:rFonts w:ascii="Microsoft YaHei UI Light" w:hAnsi="Microsoft YaHei UI Light" w:eastAsia="Microsoft YaHei UI Light" w:cs="Microsoft YaHei UI Light"/>
          <w:sz w:val="36"/>
          <w:szCs w:val="36"/>
          <w:lang w:val="en-us"/>
        </w:rPr>
        <w:t xml:space="preserve">. (Tract. lxxxiii. 3.) Where then love is, what can be wanting? where it is not, what can profit? But this love is distinguished from men’s love to each other as men, by adding, </w:t>
      </w:r>
      <w:r>
        <w:rPr>
          <w:rFonts w:ascii="Microsoft YaHei UI Light" w:hAnsi="Microsoft YaHei UI Light" w:eastAsia="Microsoft YaHei UI Light" w:cs="Microsoft YaHei UI Light"/>
          <w:i/>
          <w:iCs/>
          <w:sz w:val="36"/>
          <w:szCs w:val="36"/>
          <w:lang w:val="en-us"/>
        </w:rPr>
        <w:t>As I have loved you</w:t>
      </w:r>
      <w:r>
        <w:rPr>
          <w:rFonts w:ascii="Microsoft YaHei UI Light" w:hAnsi="Microsoft YaHei UI Light" w:eastAsia="Microsoft YaHei UI Light" w:cs="Microsoft YaHei UI Light"/>
          <w:sz w:val="36"/>
          <w:szCs w:val="36"/>
          <w:lang w:val="en-us"/>
        </w:rPr>
        <w:t>. To what end did Christ love us, but that we should reign with Him? Let us therefore so love one another, as that our love be different from that of other men; who do not love one another, to the end that God may be loved, because they do not really love at all. They who love one another for the sake of having God within them, they truly love one another.</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10"/>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mallCaps/>
          <w:sz w:val="36"/>
          <w:szCs w:val="36"/>
          <w:lang w:val="en-us"/>
        </w:rPr>
        <w:t>Gregory</w:t>
      </w:r>
      <w:r>
        <w:rPr>
          <w:rFonts w:ascii="Microsoft YaHei UI Light" w:hAnsi="Microsoft YaHei UI Light" w:eastAsia="Microsoft YaHei UI Light" w:cs="Microsoft YaHei UI Light"/>
          <w:sz w:val="36"/>
          <w:szCs w:val="36"/>
          <w:lang w:val="en-us"/>
        </w:rPr>
        <w:t xml:space="preserve">. (Hom. xxvii.) The highest, the only proof of love, is to love our adversary; as did the Truth Himself, who while He suffered on the cross, shewed His love for His persecutors: </w:t>
      </w:r>
      <w:r>
        <w:rPr>
          <w:rFonts w:ascii="Microsoft YaHei UI Light" w:hAnsi="Microsoft YaHei UI Light" w:eastAsia="Microsoft YaHei UI Light" w:cs="Microsoft YaHei UI Light"/>
          <w:i/>
          <w:iCs/>
          <w:sz w:val="36"/>
          <w:szCs w:val="36"/>
          <w:lang w:val="en-us"/>
        </w:rPr>
        <w:t>Father, forgive them, for they know not what they do</w:t>
      </w:r>
      <w:r>
        <w:rPr>
          <w:rFonts w:ascii="Microsoft YaHei UI Light" w:hAnsi="Microsoft YaHei UI Light" w:eastAsia="Microsoft YaHei UI Light" w:cs="Microsoft YaHei UI Light"/>
          <w:sz w:val="36"/>
          <w:szCs w:val="36"/>
          <w:lang w:val="en-us"/>
        </w:rPr>
        <w:t xml:space="preserve">. (Luke 23:34) Of which love the consummation is given in the next words: </w:t>
      </w:r>
      <w:r>
        <w:rPr>
          <w:rFonts w:ascii="Microsoft YaHei UI Light" w:hAnsi="Microsoft YaHei UI Light" w:eastAsia="Microsoft YaHei UI Light" w:cs="Microsoft YaHei UI Light"/>
          <w:i/>
          <w:iCs/>
          <w:sz w:val="36"/>
          <w:szCs w:val="36"/>
          <w:lang w:val="en-us"/>
        </w:rPr>
        <w:t>Greater love hath no man than this, that a man lay down his life for his friends</w:t>
      </w:r>
      <w:r>
        <w:rPr>
          <w:rFonts w:ascii="Microsoft YaHei UI Light" w:hAnsi="Microsoft YaHei UI Light" w:eastAsia="Microsoft YaHei UI Light" w:cs="Microsoft YaHei UI Light"/>
          <w:sz w:val="36"/>
          <w:szCs w:val="36"/>
          <w:lang w:val="en-us"/>
        </w:rPr>
        <w:t>. Our Lord came to die for His enemies, but He says that He is going to lay down His life for His friends, to shew us that by loving, we are able to  gain over our enemies, so that they who persecute us are by anticipation our friends.</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11"/>
      </w:r>
    </w:p>
    <w:p>
      <w:pPr>
        <w:spacing w:before="18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w:t>
      </w:r>
      <w:r>
        <w:rPr>
          <w:rFonts w:ascii="Microsoft YaHei UI Light" w:hAnsi="Microsoft YaHei UI Light" w:eastAsia="Microsoft YaHei UI Light" w:cs="Microsoft YaHei UI Light"/>
          <w:sz w:val="36"/>
          <w:szCs w:val="36"/>
          <w:lang w:val="en-us"/>
        </w:rPr>
        <w:t xml:space="preserve"> </w:t>
      </w:r>
      <w:r>
        <w:rPr>
          <w:rFonts w:ascii="Microsoft YaHei UI Light" w:hAnsi="Microsoft YaHei UI Light" w:eastAsia="Microsoft YaHei UI Light" w:cs="Microsoft YaHei UI Light"/>
          <w:smallCaps/>
          <w:sz w:val="36"/>
          <w:szCs w:val="36"/>
          <w:lang w:val="en-us"/>
        </w:rPr>
        <w:t>Historical note:</w:t>
      </w:r>
      <w:r>
        <w:rPr>
          <w:rFonts w:ascii="Microsoft YaHei UI Light" w:hAnsi="Microsoft YaHei UI Light" w:eastAsia="Microsoft YaHei UI Light" w:cs="Microsoft YaHei UI Light"/>
          <w:sz w:val="36"/>
          <w:szCs w:val="36"/>
          <w:lang w:val="en-us"/>
        </w:rPr>
        <w:t xml:space="preserve"> “The idea of being the friend of God has also a background. Abraham was the friend of God (Isaiah 41:8). In Wisdom 7:27 Wisdom is said to make men the friends of God. But this phrase is lit up by a custom which obtained both at the courts of the Roman Emperors and of the eastern kings [e.g., 2 Sam 15:37; 1 Ch 27:32–34]. At these courts there was a very select group of men called the friends of the king, or the friends of the Emperor. At all times they had access to the king: they had even the right to come to his bedchamber at the beginning of the day. He talked to them before he talked to his generals, his rulers, and his statesmen. The friends of the king were those who had the closest and the most intimate connection with him.</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sz w:val="36"/>
          <w:szCs w:val="36"/>
          <w:lang w:val="en-us"/>
        </w:rPr>
        <w:t>“Jesus called us to be his friends and the friends of God. That is a tremendous offer. It means that no longer do we need to gaze longingly at God from afar off; we are not like slaves who have no right whatever to enter into the presence of the master; we are not like a crowd whose only glimpse of the king is in the passing on some state occasion. Jesus gave us this intimacy with God, so that he is no longer a distant stranger, but our close friend.”</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12"/>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sz w:val="36"/>
          <w:szCs w:val="36"/>
          <w:vertAlign w:val="superscript"/>
          <w:lang w:val="en-us"/>
        </w:rPr>
      </w:r>
    </w:p>
    <w:p>
      <w:pPr>
        <w:spacing w:before="18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15:16.</w:t>
      </w:r>
      <w:r>
        <w:rPr>
          <w:rFonts w:ascii="Microsoft YaHei UI Light" w:hAnsi="Microsoft YaHei UI Light" w:eastAsia="Microsoft YaHei UI Light" w:cs="Microsoft YaHei UI Light"/>
          <w:sz w:val="36"/>
          <w:szCs w:val="36"/>
          <w:lang w:val="en-us"/>
        </w:rPr>
        <w:t xml:space="preserve"> There are three ideas contained in these words of our Lord. One, that the calling which the apostles received and which every Christian also receives does not originate in the individual’s good desires but in Christ’s free choice. It was not the apostles who chose the Lord as Master, in the way someone would go about choosing a rabbi: it was Christ who chose them. The second idea is that the apostles’ mission and the mission of every Christian is to follow Christ, to seek holiness and contribute to the spread of the Gospel. The third teaching refers to the effectiveness of prayer done in the name of Christ; which is why the Church usually ends the prayers of the liturgy with the invocation “Through Jesus Christ our Lord …”.</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sz w:val="36"/>
          <w:szCs w:val="36"/>
          <w:lang w:val="en-us"/>
        </w:rPr>
        <w:t xml:space="preserve">The three ideas are all interconnected: prayer is necessary if the Christian life is to prove fruitful, for it is “God who gives the growth” (1 Cor 3:7); and the obligation to seek holiness and to be apostolic derives from the fact that it is Christ himself who has given us this mission. “Bear in mind, son, that you are not just a soul who has joined other souls in order to do a good thing. That is a lot, but it’s still little. You are the apostle who is carrying out an imperative command from Christ” (St Josemaría Escrivá, </w:t>
      </w:r>
      <w:r>
        <w:rPr>
          <w:rFonts w:ascii="Microsoft YaHei UI Light" w:hAnsi="Microsoft YaHei UI Light" w:eastAsia="Microsoft YaHei UI Light" w:cs="Microsoft YaHei UI Light"/>
          <w:i/>
          <w:iCs/>
          <w:sz w:val="36"/>
          <w:szCs w:val="36"/>
          <w:lang w:val="en-us"/>
        </w:rPr>
        <w:t>The Way</w:t>
      </w:r>
      <w:r>
        <w:rPr>
          <w:rFonts w:ascii="Microsoft YaHei UI Light" w:hAnsi="Microsoft YaHei UI Light" w:eastAsia="Microsoft YaHei UI Light" w:cs="Microsoft YaHei UI Light"/>
          <w:sz w:val="36"/>
          <w:szCs w:val="36"/>
          <w:lang w:val="en-us"/>
        </w:rPr>
        <w:t>, 941–942).</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13"/>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lang w:val="en-us"/>
        </w:rPr>
      </w:pPr>
      <w:r>
        <w:rPr>
          <w:rFonts w:ascii="Microsoft YaHei UI Light" w:hAnsi="Microsoft YaHei UI Light" w:eastAsia="Microsoft YaHei UI Light" w:cs="Microsoft YaHei UI Light"/>
          <w:b/>
          <w:bCs/>
          <w:sz w:val="36"/>
          <w:szCs w:val="36"/>
          <w:lang w:val="en-us"/>
        </w:rPr>
        <w:t>15:18–27</w:t>
      </w:r>
      <w:r>
        <w:rPr>
          <w:rFonts w:ascii="Microsoft YaHei UI Light" w:hAnsi="Microsoft YaHei UI Light" w:eastAsia="Microsoft YaHei UI Light" w:cs="Microsoft YaHei UI Light"/>
          <w:sz w:val="36"/>
          <w:szCs w:val="36"/>
          <w:lang w:val="en-us"/>
        </w:rPr>
        <w:t xml:space="preserve"> Jesus cautions the disciples against the hostility and persecution of the world. The hatred it has for Jesus will likewise fall on them for preaching his gospel and living as he lived. The wording of 15:24–25 and 16:2 suggests that by “world” Jesus is referring to unbelieving Israel. See note on Jn 1:10.</w:t>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mallCaps/>
          <w:sz w:val="36"/>
          <w:szCs w:val="36"/>
          <w:lang w:val="en-us"/>
        </w:rPr>
        <w:t>Chrysostom</w:t>
      </w:r>
      <w:r>
        <w:rPr>
          <w:rFonts w:ascii="Microsoft YaHei UI Light" w:hAnsi="Microsoft YaHei UI Light" w:eastAsia="Microsoft YaHei UI Light" w:cs="Microsoft YaHei UI Light"/>
          <w:sz w:val="36"/>
          <w:szCs w:val="36"/>
          <w:lang w:val="en-us"/>
        </w:rPr>
        <w:t xml:space="preserve">. (Hom. lxxvii. 2) Or thus: I have said that I lay down My life for you, and that I first chose you. I have said this not by way of reproach, but to induce you to </w:t>
      </w:r>
      <w:r>
        <w:rPr>
          <w:rFonts w:ascii="Microsoft YaHei UI Light" w:hAnsi="Microsoft YaHei UI Light" w:eastAsia="Microsoft YaHei UI Light" w:cs="Microsoft YaHei UI Light"/>
          <w:i/>
          <w:iCs/>
          <w:sz w:val="36"/>
          <w:szCs w:val="36"/>
          <w:lang w:val="en-us"/>
        </w:rPr>
        <w:t>love one another</w:t>
      </w:r>
      <w:r>
        <w:rPr>
          <w:rFonts w:ascii="Microsoft YaHei UI Light" w:hAnsi="Microsoft YaHei UI Light" w:eastAsia="Microsoft YaHei UI Light" w:cs="Microsoft YaHei UI Light"/>
          <w:sz w:val="36"/>
          <w:szCs w:val="36"/>
          <w:lang w:val="en-us"/>
        </w:rPr>
        <w:t xml:space="preserve">. Then as they were about to suffer persecution and reproach, He bids them not to grieve, but rejoice on that account: </w:t>
      </w:r>
      <w:r>
        <w:rPr>
          <w:rFonts w:ascii="Microsoft YaHei UI Light" w:hAnsi="Microsoft YaHei UI Light" w:eastAsia="Microsoft YaHei UI Light" w:cs="Microsoft YaHei UI Light"/>
          <w:i/>
          <w:iCs/>
          <w:sz w:val="36"/>
          <w:szCs w:val="36"/>
          <w:lang w:val="en-us"/>
        </w:rPr>
        <w:t>If the world hate you, ye know that it hated Me before it hated you:</w:t>
      </w:r>
      <w:r>
        <w:rPr>
          <w:rFonts w:ascii="Microsoft YaHei UI Light" w:hAnsi="Microsoft YaHei UI Light" w:eastAsia="Microsoft YaHei UI Light" w:cs="Microsoft YaHei UI Light"/>
          <w:sz w:val="36"/>
          <w:szCs w:val="36"/>
          <w:lang w:val="en-us"/>
        </w:rPr>
        <w:t xml:space="preserve"> as if to say, I know it is a hard trial, but ye will endure it for My sake.</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14"/>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lang w:val="en-us"/>
        </w:rPr>
      </w:pPr>
      <w:r>
        <w:rPr>
          <w:rFonts w:ascii="Microsoft YaHei UI Light" w:hAnsi="Microsoft YaHei UI Light" w:eastAsia="Microsoft YaHei UI Light" w:cs="Microsoft YaHei UI Light"/>
          <w:b/>
          <w:bCs/>
          <w:sz w:val="36"/>
          <w:szCs w:val="36"/>
          <w:lang w:val="en-us"/>
        </w:rPr>
        <w:t>15:22 no excuse:</w:t>
      </w:r>
      <w:r>
        <w:rPr>
          <w:rFonts w:ascii="Microsoft YaHei UI Light" w:hAnsi="Microsoft YaHei UI Light" w:eastAsia="Microsoft YaHei UI Light" w:cs="Microsoft YaHei UI Light"/>
          <w:sz w:val="36"/>
          <w:szCs w:val="36"/>
          <w:lang w:val="en-us"/>
        </w:rPr>
        <w:t xml:space="preserve"> Revelation entails the responsibility of embracing it. Had Jesus not spoken the truth to the world, its culpability would be lessened; since he did, however, scoffers and unbelievers face the dreadful consequences of rejecting the voice of the living God (12:47–50).</w:t>
      </w:r>
    </w:p>
    <w:p>
      <w:pPr>
        <w:spacing w:before="180"/>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15:22–25.</w:t>
      </w:r>
      <w:r>
        <w:rPr>
          <w:rFonts w:ascii="Microsoft YaHei UI Light" w:hAnsi="Microsoft YaHei UI Light" w:eastAsia="Microsoft YaHei UI Light" w:cs="Microsoft YaHei UI Light"/>
          <w:sz w:val="36"/>
          <w:szCs w:val="36"/>
          <w:lang w:val="en-us"/>
        </w:rPr>
        <w:t xml:space="preserve"> Our Lord points out that those who deny him would not have sin had he not revealed himself, had the Light not shone; but it has shone and they have no excuse now (cf. Jn 9:41; Mt 12:31ff). “This is the sin”, St Augustine comments, “that they did not believe in what Christ said and did. We are not to suppose that they had no sin before he spoke to them and worked miracles among them; but this sin, their not believing in him, is mentioned in this way, because in this sin of unbelief are all other sins rooted. For if they had believed in him, the rest would be forgiven” (</w:t>
      </w:r>
      <w:r>
        <w:rPr>
          <w:rFonts w:ascii="Microsoft YaHei UI Light" w:hAnsi="Microsoft YaHei UI Light" w:eastAsia="Microsoft YaHei UI Light" w:cs="Microsoft YaHei UI Light"/>
          <w:i/>
          <w:iCs/>
          <w:sz w:val="36"/>
          <w:szCs w:val="36"/>
          <w:lang w:val="en-us"/>
        </w:rPr>
        <w:t>In Ioann. Evang.</w:t>
      </w:r>
      <w:r>
        <w:rPr>
          <w:rFonts w:ascii="Microsoft YaHei UI Light" w:hAnsi="Microsoft YaHei UI Light" w:eastAsia="Microsoft YaHei UI Light" w:cs="Microsoft YaHei UI Light"/>
          <w:sz w:val="36"/>
          <w:szCs w:val="36"/>
          <w:lang w:val="en-us"/>
        </w:rPr>
        <w:t>, 91, 1).</w:t>
      </w:r>
      <w:r>
        <w:rPr>
          <w:rFonts w:ascii="Microsoft YaHei UI Light" w:hAnsi="Microsoft YaHei UI Light" w:eastAsia="Microsoft YaHei UI Light" w:cs="Microsoft YaHei UI Light"/>
          <w:sz w:val="36"/>
          <w:szCs w:val="36"/>
        </w:rPr>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sz w:val="36"/>
          <w:szCs w:val="36"/>
          <w:lang w:val="en-us"/>
        </w:rPr>
        <w:t>Hatred of Christ, who “went about doing good” (Acts 10:38), cannot be explained except by men being deeply affected by the devil’s hatred of God. The Old Testament foretold that he would be hated so viciously: “Let not those rejoice over me who are wrongfully my foes, and let not those wink the eye who hate me without cause” (Ps 35:19; cf. also Ps 2:1–2; 22:16–18).</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15"/>
      </w:r>
    </w:p>
    <w:p>
      <w:pPr>
        <w:ind w:firstLine="360"/>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sz w:val="36"/>
          <w:szCs w:val="36"/>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rPr>
      </w:pPr>
      <w:r>
        <w:rPr>
          <w:rFonts w:ascii="Microsoft YaHei UI Light" w:hAnsi="Microsoft YaHei UI Light" w:eastAsia="Microsoft YaHei UI Light" w:cs="Microsoft YaHei UI Light"/>
          <w:b/>
          <w:bCs/>
          <w:sz w:val="36"/>
          <w:szCs w:val="36"/>
          <w:lang w:val="en-us"/>
        </w:rPr>
        <w:t>15:25 their law:</w:t>
      </w:r>
      <w:r>
        <w:rPr>
          <w:rFonts w:ascii="Microsoft YaHei UI Light" w:hAnsi="Microsoft YaHei UI Light" w:eastAsia="Microsoft YaHei UI Light" w:cs="Microsoft YaHei UI Light"/>
          <w:sz w:val="36"/>
          <w:szCs w:val="36"/>
          <w:lang w:val="en-us"/>
        </w:rPr>
        <w:t xml:space="preserve"> Refers to the entire OT, not only to the Pentateuch (10:34; 12:34). </w:t>
      </w:r>
      <w:r>
        <w:rPr>
          <w:rFonts w:ascii="Microsoft YaHei UI Light" w:hAnsi="Microsoft YaHei UI Light" w:eastAsia="Microsoft YaHei UI Light" w:cs="Microsoft YaHei UI Light"/>
          <w:b/>
          <w:bCs/>
          <w:sz w:val="36"/>
          <w:szCs w:val="36"/>
          <w:lang w:val="en-us"/>
        </w:rPr>
        <w:t>They hated me:</w:t>
      </w:r>
      <w:r>
        <w:rPr>
          <w:rFonts w:ascii="Microsoft YaHei UI Light" w:hAnsi="Microsoft YaHei UI Light" w:eastAsia="Microsoft YaHei UI Light" w:cs="Microsoft YaHei UI Light"/>
          <w:sz w:val="36"/>
          <w:szCs w:val="36"/>
          <w:lang w:val="en-us"/>
        </w:rPr>
        <w:t xml:space="preserve"> Echoes Ps 35:19 and 69:4. ● In both verses the Psalmist pleads for Yahweh’s vindication because wicked men harass him for no justifiable reason. The disciples must learn from this word of caution from Jesus that the world’s hatred will not go unnoticed by the Father, but he will one day deliver them from the malice of their oppressors.</w:t>
      </w:r>
      <w:r>
        <w:rPr>
          <w:rFonts w:ascii="Microsoft YaHei UI Light" w:hAnsi="Microsoft YaHei UI Light" w:eastAsia="Microsoft YaHei UI Light" w:cs="Microsoft YaHei UI Light"/>
          <w:sz w:val="36"/>
          <w:szCs w:val="36"/>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lang w:val="en-us"/>
        </w:rPr>
      </w:pPr>
      <w:r>
        <w:rPr>
          <w:rFonts w:ascii="Microsoft YaHei UI Light" w:hAnsi="Microsoft YaHei UI Light" w:eastAsia="Microsoft YaHei UI Light" w:cs="Microsoft YaHei UI Light"/>
          <w:b/>
          <w:bCs/>
          <w:sz w:val="36"/>
          <w:szCs w:val="36"/>
          <w:lang w:val="en-us"/>
        </w:rPr>
        <w:t>15:26 whom I shall send:</w:t>
      </w:r>
      <w:r>
        <w:rPr>
          <w:rFonts w:ascii="Microsoft YaHei UI Light" w:hAnsi="Microsoft YaHei UI Light" w:eastAsia="Microsoft YaHei UI Light" w:cs="Microsoft YaHei UI Light"/>
          <w:sz w:val="36"/>
          <w:szCs w:val="36"/>
          <w:lang w:val="en-us"/>
        </w:rPr>
        <w:t xml:space="preserve"> The Spirit comes forth from the Father (14:16, 26) and the Son (16:7). ● The mission of the Spirit in history is a reflection of the procession of the Spirit in eternity. This is expressed in the Nicene Creed, which says that the Holy Spirit “proceeds from the Father and the Son” (CCC 244–48).</w:t>
      </w:r>
      <w:r>
        <w:rPr>
          <w:rFonts w:ascii="Microsoft YaHei UI Light" w:hAnsi="Microsoft YaHei UI Light" w:eastAsia="Microsoft YaHei UI Light" w:cs="Microsoft YaHei UI Light"/>
          <w:sz w:val="36"/>
          <w:szCs w:val="36"/>
          <w:vertAlign w:val="superscript"/>
          <w:lang w:val="en-us"/>
        </w:rPr>
      </w:r>
      <w:r>
        <w:rPr>
          <w:rFonts w:ascii="Microsoft YaHei UI Light" w:hAnsi="Microsoft YaHei UI Light" w:eastAsia="Microsoft YaHei UI Light" w:cs="Microsoft YaHei UI Light"/>
          <w:sz w:val="36"/>
          <w:szCs w:val="36"/>
          <w:vertAlign w:val="superscript"/>
          <w:lang w:val="en-us"/>
        </w:rPr>
        <w:footnoteReference w:id="16"/>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b/>
          <w:bCs/>
          <w:sz w:val="36"/>
          <w:szCs w:val="36"/>
          <w:lang w:val="en-us"/>
        </w:rPr>
        <w:t>»</w:t>
      </w:r>
      <w:r>
        <w:rPr>
          <w:rFonts w:ascii="Microsoft YaHei UI Light" w:hAnsi="Microsoft YaHei UI Light" w:eastAsia="Microsoft YaHei UI Light" w:cs="Microsoft YaHei UI Light"/>
          <w:sz w:val="36"/>
          <w:szCs w:val="36"/>
          <w:lang w:val="en-us"/>
        </w:rPr>
        <w:t xml:space="preserve"> </w:t>
      </w:r>
      <w:r>
        <w:rPr>
          <w:rFonts w:ascii="Microsoft YaHei UI Light" w:hAnsi="Microsoft YaHei UI Light" w:eastAsia="Microsoft YaHei UI Light" w:cs="Microsoft YaHei UI Light"/>
          <w:smallCaps/>
          <w:sz w:val="36"/>
          <w:szCs w:val="36"/>
          <w:lang w:val="en-us"/>
        </w:rPr>
        <w:t>Practical note:</w:t>
      </w:r>
      <w:r>
        <w:rPr>
          <w:rFonts w:ascii="Microsoft YaHei UI Light" w:hAnsi="Microsoft YaHei UI Light" w:eastAsia="Microsoft YaHei UI Light" w:cs="Microsoft YaHei UI Light"/>
          <w:sz w:val="36"/>
          <w:szCs w:val="36"/>
          <w:lang w:val="en-us"/>
        </w:rPr>
        <w:t xml:space="preserve"> “Every Christian should be a living witness to Jesus, and the Church as a whole is a permanent testimony to him: ‘The mission of the Church is carried out by means of that activity through which, in obedience to Christ’s command and moved by the grace and love of the Holy Spirit, the Church makes itself fully present to all men and peoples in order to lead them to the faith, freedom and peace of Christ by the example of its life and teaching, by the sacraments and other means of grace’ (Vatican II, </w:t>
      </w:r>
      <w:r>
        <w:rPr>
          <w:rFonts w:ascii="Microsoft YaHei UI Light" w:hAnsi="Microsoft YaHei UI Light" w:eastAsia="Microsoft YaHei UI Light" w:cs="Microsoft YaHei UI Light"/>
          <w:i/>
          <w:iCs/>
          <w:sz w:val="36"/>
          <w:szCs w:val="36"/>
          <w:lang w:val="en-us"/>
        </w:rPr>
        <w:t>Ad gentes</w:t>
      </w:r>
      <w:r>
        <w:rPr>
          <w:rFonts w:ascii="Microsoft YaHei UI Light" w:hAnsi="Microsoft YaHei UI Light" w:eastAsia="Microsoft YaHei UI Light" w:cs="Microsoft YaHei UI Light"/>
          <w:sz w:val="36"/>
          <w:szCs w:val="36"/>
          <w:lang w:val="en-us"/>
        </w:rPr>
        <w:t>, 5).”</w:t>
      </w:r>
      <w:r>
        <w:rPr>
          <w:rFonts w:ascii="Microsoft YaHei UI Light" w:hAnsi="Microsoft YaHei UI Light" w:eastAsia="Microsoft YaHei UI Light" w:cs="Microsoft YaHei UI Light"/>
          <w:sz w:val="36"/>
          <w:szCs w:val="36"/>
          <w:vertAlign w:val="superscript"/>
        </w:rPr>
      </w:r>
      <w:r>
        <w:rPr>
          <w:rFonts w:ascii="Microsoft YaHei UI Light" w:hAnsi="Microsoft YaHei UI Light" w:eastAsia="Microsoft YaHei UI Light" w:cs="Microsoft YaHei UI Light"/>
          <w:sz w:val="36"/>
          <w:szCs w:val="36"/>
          <w:vertAlign w:val="superscript"/>
        </w:rPr>
        <w:footnoteReference w:id="17"/>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b/>
          <w:bCs/>
          <w:sz w:val="36"/>
          <w:szCs w:val="36"/>
          <w:vertAlign w:val="superscript"/>
        </w:rPr>
      </w:pPr>
      <w:r>
        <w:rPr>
          <w:rFonts w:ascii="Microsoft YaHei UI Light" w:hAnsi="Microsoft YaHei UI Light" w:eastAsia="Microsoft YaHei UI Light" w:cs="Microsoft YaHei UI Light"/>
          <w:b/>
          <w:bCs/>
          <w:sz w:val="36"/>
          <w:szCs w:val="36"/>
          <w:vertAlign w:val="superscript"/>
          <w:lang w:val="en-us"/>
        </w:rPr>
        <w:t>11 </w:t>
      </w:r>
      <w:r>
        <w:rPr>
          <w:rFonts w:ascii="Microsoft YaHei UI Light" w:hAnsi="Microsoft YaHei UI Light" w:eastAsia="Microsoft YaHei UI Light" w:cs="Microsoft YaHei UI Light"/>
          <w:b/>
          <w:bCs/>
          <w:sz w:val="36"/>
          <w:szCs w:val="36"/>
          <w:lang w:val="en-us"/>
        </w:rPr>
        <w:t xml:space="preserve">¶ For this is the message which you have heard from the beginning, that we should love one another, </w:t>
      </w:r>
      <w:r>
        <w:rPr>
          <w:rFonts w:ascii="Microsoft YaHei UI Light" w:hAnsi="Microsoft YaHei UI Light" w:eastAsia="Microsoft YaHei UI Light" w:cs="Microsoft YaHei UI Light"/>
          <w:b/>
          <w:bCs/>
          <w:sz w:val="36"/>
          <w:szCs w:val="36"/>
          <w:vertAlign w:val="superscript"/>
          <w:lang w:val="en-us"/>
        </w:rPr>
        <w:t>12 </w:t>
      </w:r>
      <w:r>
        <w:rPr>
          <w:rFonts w:ascii="Microsoft YaHei UI Light" w:hAnsi="Microsoft YaHei UI Light" w:eastAsia="Microsoft YaHei UI Light" w:cs="Microsoft YaHei UI Light"/>
          <w:b/>
          <w:bCs/>
          <w:sz w:val="36"/>
          <w:szCs w:val="36"/>
          <w:lang w:val="en-us"/>
        </w:rPr>
        <w:t xml:space="preserve">and not be like Cain who was of the Evil One and murdered his brother. And why did he murder him? Because his own deeds were evil and his brother’s righteous. </w:t>
      </w:r>
      <w:r>
        <w:rPr>
          <w:rFonts w:ascii="Microsoft YaHei UI Light" w:hAnsi="Microsoft YaHei UI Light" w:eastAsia="Microsoft YaHei UI Light" w:cs="Microsoft YaHei UI Light"/>
          <w:b/>
          <w:bCs/>
          <w:sz w:val="36"/>
          <w:szCs w:val="36"/>
          <w:vertAlign w:val="superscript"/>
          <w:lang w:val="en-us"/>
        </w:rPr>
        <w:t>13 </w:t>
      </w:r>
      <w:r>
        <w:rPr>
          <w:rFonts w:ascii="Microsoft YaHei UI Light" w:hAnsi="Microsoft YaHei UI Light" w:eastAsia="Microsoft YaHei UI Light" w:cs="Microsoft YaHei UI Light"/>
          <w:b/>
          <w:bCs/>
          <w:sz w:val="36"/>
          <w:szCs w:val="36"/>
          <w:lang w:val="en-us"/>
        </w:rPr>
        <w:t xml:space="preserve">¶ Do not wonder, brethren, that the world hates you. </w:t>
      </w:r>
      <w:r>
        <w:rPr>
          <w:rFonts w:ascii="Microsoft YaHei UI Light" w:hAnsi="Microsoft YaHei UI Light" w:eastAsia="Microsoft YaHei UI Light" w:cs="Microsoft YaHei UI Light"/>
          <w:b/>
          <w:bCs/>
          <w:sz w:val="36"/>
          <w:szCs w:val="36"/>
          <w:vertAlign w:val="superscript"/>
          <w:lang w:val="en-us"/>
        </w:rPr>
        <w:t>14 </w:t>
      </w:r>
      <w:r>
        <w:rPr>
          <w:rFonts w:ascii="Microsoft YaHei UI Light" w:hAnsi="Microsoft YaHei UI Light" w:eastAsia="Microsoft YaHei UI Light" w:cs="Microsoft YaHei UI Light"/>
          <w:b/>
          <w:bCs/>
          <w:sz w:val="36"/>
          <w:szCs w:val="36"/>
          <w:lang w:val="en-us"/>
        </w:rPr>
        <w:t xml:space="preserve">¶ We know that we have passed out of death into life, because we love the brethren. He who does not love remains in death. </w:t>
      </w:r>
      <w:r>
        <w:rPr>
          <w:rFonts w:ascii="Microsoft YaHei UI Light" w:hAnsi="Microsoft YaHei UI Light" w:eastAsia="Microsoft YaHei UI Light" w:cs="Microsoft YaHei UI Light"/>
          <w:b/>
          <w:bCs/>
          <w:sz w:val="36"/>
          <w:szCs w:val="36"/>
          <w:vertAlign w:val="superscript"/>
          <w:lang w:val="en-us"/>
        </w:rPr>
        <w:t>15 </w:t>
      </w:r>
      <w:r>
        <w:rPr>
          <w:rFonts w:ascii="Microsoft YaHei UI Light" w:hAnsi="Microsoft YaHei UI Light" w:eastAsia="Microsoft YaHei UI Light" w:cs="Microsoft YaHei UI Light"/>
          <w:b/>
          <w:bCs/>
          <w:sz w:val="36"/>
          <w:szCs w:val="36"/>
          <w:lang w:val="en-us"/>
        </w:rPr>
        <w:t xml:space="preserve">¶ Any one who hates his brother is a murderer, and you know that no murderer has eternal life abiding in him. </w:t>
      </w:r>
      <w:r>
        <w:rPr>
          <w:rFonts w:ascii="Microsoft YaHei UI Light" w:hAnsi="Microsoft YaHei UI Light" w:eastAsia="Microsoft YaHei UI Light" w:cs="Microsoft YaHei UI Light"/>
          <w:b/>
          <w:bCs/>
          <w:sz w:val="36"/>
          <w:szCs w:val="36"/>
          <w:vertAlign w:val="superscript"/>
          <w:lang w:val="en-us"/>
        </w:rPr>
        <w:t>16 </w:t>
      </w:r>
      <w:r>
        <w:rPr>
          <w:rFonts w:ascii="Microsoft YaHei UI Light" w:hAnsi="Microsoft YaHei UI Light" w:eastAsia="Microsoft YaHei UI Light" w:cs="Microsoft YaHei UI Light"/>
          <w:b/>
          <w:bCs/>
          <w:sz w:val="36"/>
          <w:szCs w:val="36"/>
          <w:lang w:val="en-us"/>
        </w:rPr>
        <w:t xml:space="preserve">¶ By this we know love, that he laid down his life for us; and we ought to lay down our lives for the brethren. </w:t>
      </w:r>
      <w:r>
        <w:rPr>
          <w:rFonts w:ascii="Microsoft YaHei UI Light" w:hAnsi="Microsoft YaHei UI Light" w:eastAsia="Microsoft YaHei UI Light" w:cs="Microsoft YaHei UI Light"/>
          <w:b/>
          <w:bCs/>
          <w:sz w:val="36"/>
          <w:szCs w:val="36"/>
          <w:vertAlign w:val="superscript"/>
          <w:lang w:val="en-us"/>
        </w:rPr>
        <w:t>17 </w:t>
      </w:r>
      <w:r>
        <w:rPr>
          <w:rFonts w:ascii="Microsoft YaHei UI Light" w:hAnsi="Microsoft YaHei UI Light" w:eastAsia="Microsoft YaHei UI Light" w:cs="Microsoft YaHei UI Light"/>
          <w:b/>
          <w:bCs/>
          <w:sz w:val="36"/>
          <w:szCs w:val="36"/>
          <w:lang w:val="en-us"/>
        </w:rPr>
        <w:t xml:space="preserve">But if any one has the world’s goods and sees his brother in need, yet closes his heart against him, how does God’s love abide in him? </w:t>
      </w:r>
      <w:r>
        <w:rPr>
          <w:rFonts w:ascii="Microsoft YaHei UI Light" w:hAnsi="Microsoft YaHei UI Light" w:eastAsia="Microsoft YaHei UI Light" w:cs="Microsoft YaHei UI Light"/>
          <w:b/>
          <w:bCs/>
          <w:sz w:val="36"/>
          <w:szCs w:val="36"/>
          <w:vertAlign w:val="superscript"/>
          <w:lang w:val="en-us"/>
        </w:rPr>
        <w:t>18 </w:t>
      </w:r>
      <w:r>
        <w:rPr>
          <w:rFonts w:ascii="Microsoft YaHei UI Light" w:hAnsi="Microsoft YaHei UI Light" w:eastAsia="Microsoft YaHei UI Light" w:cs="Microsoft YaHei UI Light"/>
          <w:b/>
          <w:bCs/>
          <w:sz w:val="36"/>
          <w:szCs w:val="36"/>
          <w:lang w:val="en-us"/>
        </w:rPr>
        <w:t xml:space="preserve">¶ Little children, let us not love in word or speech but in deed and in truth. </w:t>
      </w:r>
      <w:r>
        <w:rPr>
          <w:rFonts w:ascii="Microsoft YaHei UI Light" w:hAnsi="Microsoft YaHei UI Light" w:eastAsia="Microsoft YaHei UI Light" w:cs="Microsoft YaHei UI Light"/>
          <w:b/>
          <w:bCs/>
          <w:sz w:val="36"/>
          <w:szCs w:val="36"/>
          <w:vertAlign w:val="superscript"/>
        </w:rPr>
      </w:r>
      <w:r>
        <w:rPr>
          <w:rFonts w:ascii="Microsoft YaHei UI Light" w:hAnsi="Microsoft YaHei UI Light" w:eastAsia="Microsoft YaHei UI Light" w:cs="Microsoft YaHei UI Light"/>
          <w:b/>
          <w:bCs/>
          <w:sz w:val="36"/>
          <w:szCs w:val="36"/>
          <w:vertAlign w:val="superscript"/>
        </w:rPr>
        <w:footnoteReference w:id="18"/>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Microsoft YaHei UI Light" w:hAnsi="Microsoft YaHei UI Light" w:eastAsia="Microsoft YaHei UI Light" w:cs="Microsoft YaHei UI Light"/>
          <w:sz w:val="36"/>
          <w:szCs w:val="36"/>
          <w:vertAlign w:val="superscript"/>
        </w:rPr>
      </w:pPr>
      <w:r>
        <w:rPr>
          <w:rFonts w:ascii="Microsoft YaHei UI Light" w:hAnsi="Microsoft YaHei UI Light" w:eastAsia="Microsoft YaHei UI Light" w:cs="Microsoft YaHei UI Light"/>
          <w:sz w:val="36"/>
          <w:szCs w:val="36"/>
          <w:vertAlign w:val="superscript"/>
        </w:rPr>
      </w:r>
    </w:p>
    <w:sectPr>
      <w:footnotePr>
        <w:pos w:val="pageBottom"/>
        <w:numFmt w:val="decimal"/>
        <w:numStart w:val="1"/>
        <w:numRestart w:val="continuous"/>
      </w:footnotePr>
      <w:endnotePr>
        <w:pos w:val="docEnd"/>
        <w:numFmt w:val="lowerRoman"/>
        <w:numStart w:val="1"/>
        <w:numRestart w:val="continuous"/>
      </w:endnotePr>
      <w:type w:val="continuous"/>
      <w:pgSz w:h="15840" w:w="12240"/>
      <w:pgMar w:left="1440" w:top="1440" w:right="1440" w:bottom="1440"/>
      <w:paperSrc w:first="0" w:other="0" a="0" b="0"/>
      <w:pgNumType w:fmt="decimal"/>
      <w:tmGutter w:val="1"/>
      <w:mirrorMargins w:val="0"/>
      <w:tmSection w:h="-1"/>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Microsoft PhagsPa">
    <w:panose1 w:val="020B0502040204020203"/>
    <w:charset w:val="00"/>
    <w:family w:val="swiss"/>
    <w:pitch w:val="default"/>
  </w:font>
  <w:font w:name="Accent SF">
    <w:panose1 w:val="00000000000000000000"/>
    <w:charset w:val="00"/>
    <w:family w:val="auto"/>
    <w:pitch w:val="default"/>
  </w:font>
  <w:font w:name="Adamsky Outline SF">
    <w:panose1 w:val="00000000000000000000"/>
    <w:charset w:val="00"/>
    <w:family w:val="auto"/>
    <w:pitch w:val="default"/>
  </w:font>
  <w:font w:name="Adventurer Light SF">
    <w:panose1 w:val="00000000000000000000"/>
    <w:charset w:val="00"/>
    <w:family w:val="auto"/>
    <w:pitch w:val="default"/>
  </w:font>
  <w:font w:name="Annie BTN">
    <w:panose1 w:val="030C0506040109040306"/>
    <w:charset w:val="00"/>
    <w:family w:val="script"/>
    <w:pitch w:val="default"/>
  </w:font>
  <w:font w:name="Apple Boy BTN">
    <w:panose1 w:val="020C0904040107040205"/>
    <w:charset w:val="00"/>
    <w:family w:val="swiss"/>
    <w:pitch w:val="default"/>
  </w:font>
  <w:font w:name="Adventurer Black SF">
    <w:panose1 w:val="00000000000000000000"/>
    <w:charset w:val="00"/>
    <w:family w:val="auto"/>
    <w:pitch w:val="default"/>
  </w:font>
  <w:font w:name="Arial Narrow">
    <w:panose1 w:val="020B0606020202030204"/>
    <w:charset w:val="00"/>
    <w:family w:val="swiss"/>
    <w:pitch w:val="default"/>
  </w:font>
  <w:font w:name="Aristocrat SF">
    <w:panose1 w:val="00000000000000000000"/>
    <w:charset w:val="00"/>
    <w:family w:val="auto"/>
    <w:pitch w:val="default"/>
  </w:font>
  <w:font w:name="Arial Black">
    <w:panose1 w:val="020B0A04020102020204"/>
    <w:charset w:val="00"/>
    <w:family w:val="swiss"/>
    <w:pitch w:val="default"/>
  </w:font>
  <w:font w:name="Bahnschrift SemiCondensed">
    <w:panose1 w:val="020B0502040204020203"/>
    <w:charset w:val="00"/>
    <w:family w:val="swiss"/>
    <w:pitch w:val="default"/>
  </w:font>
  <w:font w:name="Balloonist SF">
    <w:panose1 w:val="020BE200000000000000"/>
    <w:charset w:val="00"/>
    <w:family w:val="swiss"/>
    <w:pitch w:val="default"/>
  </w:font>
  <w:font w:name="Franklin Gothic Pro">
    <w:panose1 w:val="02000503050000020004"/>
    <w:charset w:val="00"/>
    <w:family w:val="auto"/>
    <w:pitch w:val="default"/>
  </w:font>
  <w:font w:name="Gelfling SF">
    <w:panose1 w:val="00000000000000000000"/>
    <w:charset w:val="00"/>
    <w:family w:val="auto"/>
    <w:pitch w:val="default"/>
  </w:font>
  <w:font w:name="Goudita Sans SF">
    <w:panose1 w:val="00000000000000000000"/>
    <w:charset w:val="00"/>
    <w:family w:val="auto"/>
    <w:pitch w:val="default"/>
  </w:font>
  <w:font w:name="HP Simplified">
    <w:panose1 w:val="020B0604020204020204"/>
    <w:charset w:val="00"/>
    <w:family w:val="swiss"/>
    <w:pitch w:val="default"/>
  </w:font>
  <w:font w:name="Invite Engraved SF">
    <w:panose1 w:val="00000000000000000000"/>
    <w:charset w:val="00"/>
    <w:family w:val="auto"/>
    <w:pitch w:val="default"/>
  </w:font>
  <w:font w:name="Informal Roman">
    <w:panose1 w:val="030604020304060B0204"/>
    <w:charset w:val="00"/>
    <w:family w:val="script"/>
    <w:pitch w:val="default"/>
  </w:font>
  <w:font w:name="Industrial736 BT">
    <w:panose1 w:val="02070506070706020304"/>
    <w:charset w:val="00"/>
    <w:family w:val="roman"/>
    <w:pitch w:val="default"/>
  </w:font>
  <w:font w:name="Impress BT">
    <w:panose1 w:val="03080802040402020204"/>
    <w:charset w:val="00"/>
    <w:family w:val="script"/>
    <w:pitch w:val="default"/>
  </w:font>
  <w:font w:name="Jersey">
    <w:panose1 w:val="00000000000000000000"/>
    <w:charset w:val="00"/>
    <w:family w:val="auto"/>
    <w:pitch w:val="default"/>
  </w:font>
  <w:font w:name="Kristen ITC">
    <w:panose1 w:val="03050502040202030202"/>
    <w:charset w:val="00"/>
    <w:family w:val="script"/>
    <w:pitch w:val="default"/>
  </w:font>
  <w:font w:name="Lapidary333 Blk BT">
    <w:panose1 w:val="02020A07060505020203"/>
    <w:charset w:val="00"/>
    <w:family w:val="roman"/>
    <w:pitch w:val="default"/>
  </w:font>
  <w:font w:name="Lucida Calligraphy">
    <w:panose1 w:val="03010101010101010101"/>
    <w:charset w:val="00"/>
    <w:family w:val="script"/>
    <w:pitch w:val="default"/>
  </w:font>
  <w:font w:name="Lucida Console">
    <w:panose1 w:val="020B0609040504020204"/>
    <w:charset w:val="00"/>
    <w:family w:val="modern"/>
    <w:pitch w:val="default"/>
  </w:font>
  <w:font w:name="Lucida Fax">
    <w:panose1 w:val="02060602050505020204"/>
    <w:charset w:val="00"/>
    <w:family w:val="roman"/>
    <w:pitch w:val="default"/>
  </w:font>
  <w:font w:name="Lucida Handwriting">
    <w:panose1 w:val="03010101010101010101"/>
    <w:charset w:val="00"/>
    <w:family w:val="script"/>
    <w:pitch w:val="default"/>
  </w:font>
  <w:font w:name="Lucida Sans">
    <w:panose1 w:val="020B0602040502020204"/>
    <w:charset w:val="00"/>
    <w:family w:val="swiss"/>
    <w:pitch w:val="default"/>
  </w:font>
  <w:font w:name="Microsoft Himalaya">
    <w:panose1 w:val="01010100010101010101"/>
    <w:charset w:val="00"/>
    <w:family w:val="auto"/>
    <w:pitch w:val="default"/>
  </w:font>
  <w:font w:name="Mesquito SF">
    <w:panose1 w:val="00000400000000000000"/>
    <w:charset w:val="00"/>
    <w:family w:val="auto"/>
    <w:pitch w:val="default"/>
  </w:font>
  <w:font w:name="Meiryo UI">
    <w:panose1 w:val="020B0604030504040204"/>
    <w:charset w:val="00"/>
    <w:family w:val="swiss"/>
    <w:pitch w:val="default"/>
  </w:font>
  <w:font w:name="Meiryo">
    <w:panose1 w:val="020B0604030504040204"/>
    <w:charset w:val="00"/>
    <w:family w:val="swiss"/>
    <w:pitch w:val="default"/>
  </w:font>
  <w:font w:name="Blue Ridge Heavy SF">
    <w:panose1 w:val="020BE200000000000000"/>
    <w:charset w:val="00"/>
    <w:family w:val="swiss"/>
    <w:pitch w:val="default"/>
  </w:font>
  <w:font w:name="Blue Ridge Light SF">
    <w:panose1 w:val="00000000000000000000"/>
    <w:charset w:val="00"/>
    <w:family w:val="auto"/>
    <w:pitch w:val="default"/>
  </w:font>
  <w:font w:name="Blue Ridge SF">
    <w:panose1 w:val="00000000000000000000"/>
    <w:charset w:val="00"/>
    <w:family w:val="auto"/>
    <w:pitch w:val="default"/>
  </w:font>
  <w:font w:name="Bodoni MT Poster Compressed">
    <w:panose1 w:val="02070706080601050204"/>
    <w:charset w:val="00"/>
    <w:family w:val="roman"/>
    <w:pitch w:val="default"/>
  </w:font>
  <w:font w:name="Bolts SF">
    <w:panose1 w:val="00000000000000000000"/>
    <w:charset w:val="00"/>
    <w:family w:val="auto"/>
    <w:pitch w:val="default"/>
  </w:font>
  <w:font w:name="Bookman Old Style">
    <w:panose1 w:val="02050604050505020204"/>
    <w:charset w:val="00"/>
    <w:family w:val="roman"/>
    <w:pitch w:val="default"/>
  </w:font>
  <w:font w:name="Berlin Sans FB">
    <w:panose1 w:val="020E0602020502020306"/>
    <w:charset w:val="00"/>
    <w:family w:val="swiss"/>
    <w:pitch w:val="default"/>
  </w:font>
  <w:font w:name="Belfast Light SF">
    <w:panose1 w:val="00000000000000000000"/>
    <w:charset w:val="00"/>
    <w:family w:val="auto"/>
    <w:pitch w:val="default"/>
  </w:font>
  <w:font w:name="Bauhaus 93">
    <w:panose1 w:val="04030905020B02020C02"/>
    <w:charset w:val="00"/>
    <w:family w:val="decorative"/>
    <w:pitch w:val="default"/>
  </w:font>
  <w:font w:name="Accord Light SF">
    <w:panose1 w:val="00000000000000000000"/>
    <w:charset w:val="00"/>
    <w:family w:val="auto"/>
    <w:pitch w:val="default"/>
  </w:font>
  <w:font w:name="Accord Heavy SF">
    <w:panose1 w:val="020BE200000000000000"/>
    <w:charset w:val="00"/>
    <w:family w:val="swiss"/>
    <w:pitch w:val="default"/>
  </w:font>
  <w:font w:name="Basic Sans SF">
    <w:panose1 w:val="00000000000000000000"/>
    <w:charset w:val="00"/>
    <w:family w:val="auto"/>
    <w:pitch w:val="default"/>
  </w:font>
  <w:font w:name="Blur">
    <w:panose1 w:val="00000000000000000000"/>
    <w:charset w:val="00"/>
    <w:family w:val="auto"/>
    <w:pitch w:val="default"/>
  </w:font>
  <w:font w:name="Bookshelf Symbol 7">
    <w:panose1 w:val="05010101010101010101"/>
    <w:charset w:val="02"/>
    <w:family w:val="auto"/>
    <w:pitch w:val="default"/>
  </w:font>
  <w:font w:name="Bradley Hand ITC">
    <w:panose1 w:val="03070402050302030203"/>
    <w:charset w:val="00"/>
    <w:family w:val="script"/>
    <w:pitch w:val="default"/>
  </w:font>
  <w:font w:name="Britannic Bold">
    <w:panose1 w:val="020B0903060703020204"/>
    <w:charset w:val="00"/>
    <w:family w:val="swiss"/>
    <w:pitch w:val="default"/>
  </w:font>
  <w:font w:name="Belfast Heavy SF">
    <w:panose1 w:val="020BE200000000000000"/>
    <w:charset w:val="00"/>
    <w:family w:val="swiss"/>
    <w:pitch w:val="default"/>
  </w:font>
  <w:font w:name="Bahnschrift SemiLight">
    <w:panose1 w:val="020B0502040204020203"/>
    <w:charset w:val="00"/>
    <w:family w:val="swiss"/>
    <w:pitch w:val="default"/>
  </w:font>
  <w:font w:name="Bahnschrift SemiBold">
    <w:panose1 w:val="020B0502040204020203"/>
    <w:charset w:val="00"/>
    <w:family w:val="swiss"/>
    <w:pitch w:val="default"/>
  </w:font>
  <w:font w:name="Bahnschrift SemiBold Condensed">
    <w:panose1 w:val="020B0502040204020203"/>
    <w:charset w:val="00"/>
    <w:family w:val="swiss"/>
    <w:pitch w:val="default"/>
  </w:font>
  <w:font w:name="ashampoo">
    <w:panose1 w:val="02000509000000000000"/>
    <w:charset w:val="00"/>
    <w:family w:val="modern"/>
    <w:pitch w:val="default"/>
  </w:font>
  <w:font w:name="Ancestory SF">
    <w:panose1 w:val="00000000000000000000"/>
    <w:charset w:val="00"/>
    <w:family w:val="auto"/>
    <w:pitch w:val="default"/>
  </w:font>
  <w:font w:name="Accord SF">
    <w:panose1 w:val="00000000000000000000"/>
    <w:charset w:val="00"/>
    <w:family w:val="auto"/>
    <w:pitch w:val="default"/>
  </w:font>
  <w:font w:name="Adamsky SF">
    <w:panose1 w:val="00000000000000000000"/>
    <w:charset w:val="00"/>
    <w:family w:val="auto"/>
    <w:pitch w:val="default"/>
  </w:font>
  <w:font w:name="Algerian">
    <w:panose1 w:val="04020705040A02060702"/>
    <w:charset w:val="00"/>
    <w:family w:val="decorative"/>
    <w:pitch w:val="default"/>
  </w:font>
  <w:font w:name="Avignon Pro">
    <w:panose1 w:val="02000503040000020004"/>
    <w:charset w:val="00"/>
    <w:family w:val="auto"/>
    <w:pitch w:val="default"/>
  </w:font>
  <w:font w:name="Arial Unicode MS">
    <w:panose1 w:val="020B0604020202020204"/>
    <w:charset w:val="00"/>
    <w:family w:val="swiss"/>
    <w:pitch w:val="default"/>
  </w:font>
  <w:font w:name="Basic Sans Heavy SF">
    <w:panose1 w:val="020BE200000000000000"/>
    <w:charset w:val="00"/>
    <w:family w:val="swiss"/>
    <w:pitch w:val="default"/>
  </w:font>
  <w:font w:name="Basic Sans Light SF">
    <w:panose1 w:val="00000000000000000000"/>
    <w:charset w:val="00"/>
    <w:family w:val="auto"/>
    <w:pitch w:val="default"/>
  </w:font>
  <w:font w:name="Beatnik SF">
    <w:panose1 w:val="00000000000000000000"/>
    <w:charset w:val="00"/>
    <w:family w:val="auto"/>
    <w:pitch w:val="default"/>
  </w:font>
  <w:font w:name="Bahnschrift SemiLight SemiConde">
    <w:panose1 w:val="020B0502040204020203"/>
    <w:charset w:val="00"/>
    <w:family w:val="swiss"/>
    <w:pitch w:val="default"/>
  </w:font>
  <w:font w:name="Bahnschrift SemiLight Condensed">
    <w:panose1 w:val="020B0502040204020203"/>
    <w:charset w:val="00"/>
    <w:family w:val="swiss"/>
    <w:pitch w:val="default"/>
  </w:font>
  <w:font w:name="Baskerville Old Face">
    <w:panose1 w:val="02020602080505020303"/>
    <w:charset w:val="00"/>
    <w:family w:val="roman"/>
    <w:pitch w:val="default"/>
  </w:font>
  <w:font w:name="Bell MT">
    <w:panose1 w:val="02020503060305020303"/>
    <w:charset w:val="00"/>
    <w:family w:val="roman"/>
    <w:pitch w:val="default"/>
  </w:font>
  <w:font w:name="Bernstein SF">
    <w:panose1 w:val="00000000000000000000"/>
    <w:charset w:val="00"/>
    <w:family w:val="auto"/>
    <w:pitch w:val="default"/>
  </w:font>
  <w:font w:name="Blippo Light SF">
    <w:panose1 w:val="00000000000000000000"/>
    <w:charset w:val="00"/>
    <w:family w:val="auto"/>
    <w:pitch w:val="default"/>
  </w:font>
  <w:font w:name="BacktalkSerif BTN">
    <w:panose1 w:val="02060604050405040405"/>
    <w:charset w:val="00"/>
    <w:family w:val="roman"/>
    <w:pitch w:val="default"/>
  </w:font>
  <w:font w:name="Bahnschrift Light Condensed">
    <w:panose1 w:val="020B0502040204020203"/>
    <w:charset w:val="00"/>
    <w:family w:val="swiss"/>
    <w:pitch w:val="default"/>
  </w:font>
  <w:font w:name="Bahnschrift SemiBold SemiConden">
    <w:panose1 w:val="020B0502040204020203"/>
    <w:charset w:val="00"/>
    <w:family w:val="swiss"/>
    <w:pitch w:val="default"/>
  </w:font>
  <w:font w:name="Brush Script MT">
    <w:panose1 w:val="03060802040406070304"/>
    <w:charset w:val="00"/>
    <w:family w:val="script"/>
    <w:pitch w:val="default"/>
  </w:font>
  <w:font w:name="BruceOldStyle BT">
    <w:panose1 w:val="02040603060505020203"/>
    <w:charset w:val="00"/>
    <w:family w:val="roman"/>
    <w:pitch w:val="default"/>
  </w:font>
  <w:font w:name="Broadway">
    <w:panose1 w:val="04040905080B02020502"/>
    <w:charset w:val="00"/>
    <w:family w:val="decorative"/>
    <w:pitch w:val="default"/>
  </w:font>
  <w:font w:name="Budoken SF">
    <w:panose1 w:val="00000000000000000000"/>
    <w:charset w:val="00"/>
    <w:family w:val="auto"/>
    <w:pitch w:val="default"/>
  </w:font>
  <w:font w:name="Caslon Bd BT">
    <w:panose1 w:val="02030703070706020403"/>
    <w:charset w:val="00"/>
    <w:family w:val="roman"/>
    <w:pitch w:val="default"/>
  </w:font>
  <w:font w:name="Casablanca SF">
    <w:panose1 w:val="00000000000000000000"/>
    <w:charset w:val="00"/>
    <w:family w:val="auto"/>
    <w:pitch w:val="default"/>
  </w:font>
  <w:font w:name="Casablanca Light SF">
    <w:panose1 w:val="00000000000000000000"/>
    <w:charset w:val="00"/>
    <w:family w:val="auto"/>
    <w:pitch w:val="default"/>
  </w:font>
  <w:font w:name="Casper Light SF">
    <w:panose1 w:val="00000000000000000000"/>
    <w:charset w:val="00"/>
    <w:family w:val="auto"/>
    <w:pitch w:val="default"/>
  </w:font>
  <w:font w:name="Casablanca Heavy SF">
    <w:panose1 w:val="020BE200000000000000"/>
    <w:charset w:val="00"/>
    <w:family w:val="swiss"/>
    <w:pitch w:val="default"/>
  </w:font>
  <w:font w:name="Candy Round BTN">
    <w:panose1 w:val="020F0604020102040306"/>
    <w:charset w:val="00"/>
    <w:family w:val="swiss"/>
    <w:pitch w:val="default"/>
  </w:font>
  <w:font w:name="Candara Light">
    <w:panose1 w:val="020E0502030303020204"/>
    <w:charset w:val="00"/>
    <w:family w:val="swiss"/>
    <w:pitch w:val="default"/>
  </w:font>
  <w:font w:name="Candara">
    <w:panose1 w:val="020E0502030303020204"/>
    <w:charset w:val="00"/>
    <w:family w:val="swiss"/>
    <w:pitch w:val="default"/>
  </w:font>
  <w:font w:name="Casper Open SF">
    <w:panose1 w:val="00000000000000000000"/>
    <w:charset w:val="00"/>
    <w:family w:val="auto"/>
    <w:pitch w:val="default"/>
  </w:font>
  <w:font w:name="Casper SF">
    <w:panose1 w:val="00000000000000000000"/>
    <w:charset w:val="00"/>
    <w:family w:val="auto"/>
    <w:pitch w:val="default"/>
  </w:font>
  <w:font w:name="Centaur">
    <w:panose1 w:val="02030504050205020304"/>
    <w:charset w:val="00"/>
    <w:family w:val="roman"/>
    <w:pitch w:val="default"/>
  </w:font>
  <w:font w:name="CentSchbook BT">
    <w:panose1 w:val="02040603050705020303"/>
    <w:charset w:val="00"/>
    <w:family w:val="roman"/>
    <w:pitch w:val="default"/>
  </w:font>
  <w:font w:name="Century">
    <w:panose1 w:val="02040604050505020304"/>
    <w:charset w:val="00"/>
    <w:family w:val="roman"/>
    <w:pitch w:val="default"/>
  </w:font>
  <w:font w:name="Century Gothic">
    <w:panose1 w:val="020B0502020202020204"/>
    <w:charset w:val="00"/>
    <w:family w:val="swiss"/>
    <w:pitch w:val="default"/>
  </w:font>
  <w:font w:name="Chanson Heavy SF">
    <w:panose1 w:val="020BE200000000000000"/>
    <w:charset w:val="00"/>
    <w:family w:val="swiss"/>
    <w:pitch w:val="default"/>
  </w:font>
  <w:font w:name="ColdSpaghetti BTN">
    <w:panose1 w:val="030C06060301070D0906"/>
    <w:charset w:val="00"/>
    <w:family w:val="script"/>
    <w:pitch w:val="default"/>
  </w:font>
  <w:font w:name="Combat Ready BTN">
    <w:panose1 w:val="02060609020106040407"/>
    <w:charset w:val="00"/>
    <w:family w:val="modern"/>
    <w:pitch w:val="default"/>
  </w:font>
  <w:font w:name="Colonna MT">
    <w:panose1 w:val="04020805060202030203"/>
    <w:charset w:val="00"/>
    <w:family w:val="decorative"/>
    <w:pitch w:val="default"/>
  </w:font>
  <w:font w:name="Commerce SF">
    <w:panose1 w:val="020BE200000000000000"/>
    <w:charset w:val="00"/>
    <w:family w:val="swiss"/>
    <w:pitch w:val="default"/>
  </w:font>
  <w:font w:name="Comic Sans MS">
    <w:panose1 w:val="030F0702030302020204"/>
    <w:charset w:val="00"/>
    <w:family w:val="script"/>
    <w:pitch w:val="default"/>
  </w:font>
  <w:font w:name="ConcursoItalian BTN">
    <w:panose1 w:val="020B0806020102040B07"/>
    <w:charset w:val="00"/>
    <w:family w:val="swiss"/>
    <w:pitch w:val="default"/>
  </w:font>
  <w:font w:name="ConcursoModerne BTN Lt">
    <w:panose1 w:val="020B0506020102060507"/>
    <w:charset w:val="00"/>
    <w:family w:val="swiss"/>
    <w:pitch w:val="default"/>
  </w:font>
  <w:font w:name="Consolas">
    <w:panose1 w:val="020B0609020204030204"/>
    <w:charset w:val="00"/>
    <w:family w:val="modern"/>
    <w:pitch w:val="default"/>
  </w:font>
  <w:font w:name="Constantia">
    <w:panose1 w:val="02030602050306030303"/>
    <w:charset w:val="00"/>
    <w:family w:val="roman"/>
    <w:pitch w:val="default"/>
  </w:font>
  <w:font w:name="Cooper Black">
    <w:panose1 w:val="0208090404030B020404"/>
    <w:charset w:val="00"/>
    <w:family w:val="roman"/>
    <w:pitch w:val="default"/>
  </w:font>
  <w:font w:name="Copa Sharp BTN">
    <w:panose1 w:val="020B07040302030B0306"/>
    <w:charset w:val="00"/>
    <w:family w:val="swiss"/>
    <w:pitch w:val="default"/>
  </w:font>
  <w:font w:name="CopprplGoth BT">
    <w:panose1 w:val="020E0605020203020404"/>
    <w:charset w:val="00"/>
    <w:family w:val="swiss"/>
    <w:pitch w:val="default"/>
  </w:font>
  <w:font w:name="Delphi SF">
    <w:panose1 w:val="00000000000000000000"/>
    <w:charset w:val="00"/>
    <w:family w:val="auto"/>
    <w:pitch w:val="default"/>
  </w:font>
  <w:font w:name="Darlin BTN">
    <w:panose1 w:val="030C0503040408040806"/>
    <w:charset w:val="00"/>
    <w:family w:val="script"/>
    <w:pitch w:val="default"/>
  </w:font>
  <w:font w:name="Dark Half BTN">
    <w:panose1 w:val="020F0604060107070206"/>
    <w:charset w:val="00"/>
    <w:family w:val="swiss"/>
    <w:pitch w:val="default"/>
  </w:font>
  <w:font w:name="Crazy Loot BTN Inline">
    <w:panose1 w:val="020A0805070406040201"/>
    <w:charset w:val="00"/>
    <w:family w:val="roman"/>
    <w:pitch w:val="default"/>
  </w:font>
  <w:font w:name="Delta">
    <w:panose1 w:val="00000400000000000000"/>
    <w:charset w:val="00"/>
    <w:family w:val="auto"/>
    <w:pitch w:val="default"/>
  </w:font>
  <w:font w:name="Diamond Heavy SF">
    <w:panose1 w:val="020BE200000000000000"/>
    <w:charset w:val="00"/>
    <w:family w:val="swiss"/>
    <w:pitch w:val="default"/>
  </w:font>
  <w:font w:name="Diamond SF">
    <w:panose1 w:val="00000000000000000000"/>
    <w:charset w:val="00"/>
    <w:family w:val="auto"/>
    <w:pitch w:val="default"/>
  </w:font>
  <w:font w:name="DomCasual BT">
    <w:panose1 w:val="03060902030302020204"/>
    <w:charset w:val="00"/>
    <w:family w:val="script"/>
    <w:pitch w:val="default"/>
  </w:font>
  <w:font w:name="Doulos SIL">
    <w:panose1 w:val="02000500070000020004"/>
    <w:charset w:val="00"/>
    <w:family w:val="auto"/>
    <w:pitch w:val="default"/>
  </w:font>
  <w:font w:name="Ebrima">
    <w:panose1 w:val="02000000000000000000"/>
    <w:charset w:val="00"/>
    <w:family w:val="auto"/>
    <w:pitch w:val="default"/>
  </w:font>
  <w:font w:name="Elementary SF Black">
    <w:panose1 w:val="00000000000000000000"/>
    <w:charset w:val="02"/>
    <w:family w:val="auto"/>
    <w:pitch w:val="default"/>
  </w:font>
  <w:font w:name="Elementary Light SF">
    <w:panose1 w:val="00000000000000000000"/>
    <w:charset w:val="00"/>
    <w:family w:val="auto"/>
    <w:pitch w:val="default"/>
  </w:font>
  <w:font w:name="Elementary Heavy SF">
    <w:panose1 w:val="020BE200000000000000"/>
    <w:charset w:val="00"/>
    <w:family w:val="swiss"/>
    <w:pitch w:val="default"/>
  </w:font>
  <w:font w:name="Elementary SF">
    <w:panose1 w:val="00000000000000000000"/>
    <w:charset w:val="00"/>
    <w:family w:val="auto"/>
    <w:pitch w:val="default"/>
  </w:font>
  <w:font w:name="Embassy BT">
    <w:panose1 w:val="03030602040507090C03"/>
    <w:charset w:val="00"/>
    <w:family w:val="script"/>
    <w:pitch w:val="default"/>
  </w:font>
  <w:font w:name="Formal436 BT">
    <w:panose1 w:val="03060802040302020203"/>
    <w:charset w:val="00"/>
    <w:family w:val="script"/>
    <w:pitch w:val="default"/>
  </w:font>
  <w:font w:name="Folio XBd BT">
    <w:panose1 w:val="020B0904040702040204"/>
    <w:charset w:val="00"/>
    <w:family w:val="swiss"/>
    <w:pitch w:val="default"/>
  </w:font>
  <w:font w:name="Fluffy Slacks BTN">
    <w:panose1 w:val="020F0604060807060206"/>
    <w:charset w:val="00"/>
    <w:family w:val="swiss"/>
    <w:pitch w:val="default"/>
  </w:font>
  <w:font w:name="Firenze SF">
    <w:panose1 w:val="00000000000000000000"/>
    <w:charset w:val="00"/>
    <w:family w:val="auto"/>
    <w:pitch w:val="default"/>
  </w:font>
  <w:font w:name="Fences">
    <w:panose1 w:val="00000000000000000000"/>
    <w:charset w:val="00"/>
    <w:family w:val="auto"/>
    <w:pitch w:val="default"/>
  </w:font>
  <w:font w:name="Footlight MT Light">
    <w:panose1 w:val="0204060206030A020304"/>
    <w:charset w:val="00"/>
    <w:family w:val="roman"/>
    <w:pitch w:val="default"/>
  </w:font>
  <w:font w:name="Franklin Gothic Medium">
    <w:panose1 w:val="020B0603020102020204"/>
    <w:charset w:val="00"/>
    <w:family w:val="swiss"/>
    <w:pitch w:val="default"/>
  </w:font>
  <w:font w:name="Franklin Gothic Pro Heavy">
    <w:panose1 w:val="02000903060000020004"/>
    <w:charset w:val="00"/>
    <w:family w:val="auto"/>
    <w:pitch w:val="default"/>
  </w:font>
  <w:font w:name="Ezra SIL">
    <w:panose1 w:val="02000400000000000000"/>
    <w:charset w:val="00"/>
    <w:family w:val="auto"/>
    <w:pitch w:val="default"/>
  </w:font>
  <w:font w:name="Excalibur SF">
    <w:panose1 w:val="00000000000000000000"/>
    <w:charset w:val="00"/>
    <w:family w:val="auto"/>
    <w:pitch w:val="default"/>
  </w:font>
  <w:font w:name="Estelle Black SF">
    <w:panose1 w:val="00000000000000000000"/>
    <w:charset w:val="00"/>
    <w:family w:val="auto"/>
    <w:pitch w:val="default"/>
  </w:font>
  <w:font w:name="Ezra SIL SR">
    <w:panose1 w:val="02000400000000000000"/>
    <w:charset w:val="00"/>
    <w:family w:val="auto"/>
    <w:pitch w:val="default"/>
  </w:font>
  <w:font w:name="Galeforce BTN">
    <w:panose1 w:val="030105040402010D0105"/>
    <w:charset w:val="00"/>
    <w:family w:val="script"/>
    <w:pitch w:val="default"/>
  </w:font>
  <w:font w:name="Garamond">
    <w:panose1 w:val="02020404030301010803"/>
    <w:charset w:val="00"/>
    <w:family w:val="roman"/>
    <w:pitch w:val="default"/>
  </w:font>
  <w:font w:name="Georgia">
    <w:panose1 w:val="02040502050405020303"/>
    <w:charset w:val="00"/>
    <w:family w:val="roman"/>
    <w:pitch w:val="default"/>
  </w:font>
  <w:font w:name="Glasgow">
    <w:panose1 w:val="00000000000000000000"/>
    <w:charset w:val="00"/>
    <w:family w:val="auto"/>
    <w:pitch w:val="default"/>
  </w:font>
  <w:font w:name="Glasgow Heavy">
    <w:panose1 w:val="00000000000000000000"/>
    <w:charset w:val="00"/>
    <w:family w:val="auto"/>
    <w:pitch w:val="default"/>
  </w:font>
  <w:font w:name="Glasgow Light">
    <w:panose1 w:val="00000000000000000000"/>
    <w:charset w:val="00"/>
    <w:family w:val="auto"/>
    <w:pitch w:val="default"/>
  </w:font>
  <w:font w:name="Gothic720 BT">
    <w:panose1 w:val="020C0603020203020204"/>
    <w:charset w:val="00"/>
    <w:family w:val="swiss"/>
    <w:pitch w:val="default"/>
  </w:font>
  <w:font w:name="Gothic720 Lt BT">
    <w:panose1 w:val="020C0403020203020204"/>
    <w:charset w:val="00"/>
    <w:family w:val="swiss"/>
    <w:pitch w:val="default"/>
  </w:font>
  <w:font w:name="GothicNo13 BT">
    <w:panose1 w:val="020B0806020202050204"/>
    <w:charset w:val="00"/>
    <w:family w:val="swiss"/>
    <w:pitch w:val="default"/>
  </w:font>
  <w:font w:name="Goudita Heavy SF">
    <w:panose1 w:val="020BE200000000000000"/>
    <w:charset w:val="00"/>
    <w:family w:val="swiss"/>
    <w:pitch w:val="default"/>
  </w:font>
  <w:font w:name="Handscript SF">
    <w:panose1 w:val="00000000000000000000"/>
    <w:charset w:val="00"/>
    <w:family w:val="auto"/>
    <w:pitch w:val="default"/>
  </w:font>
  <w:font w:name="GrilledCheese BTN">
    <w:panose1 w:val="020B0604060402040206"/>
    <w:charset w:val="00"/>
    <w:family w:val="swiss"/>
    <w:pitch w:val="default"/>
  </w:font>
  <w:font w:name="Harlow Solid Italic">
    <w:panose1 w:val="04030604020F02020D02"/>
    <w:charset w:val="00"/>
    <w:family w:val="decorative"/>
    <w:pitch w:val="default"/>
  </w:font>
  <w:font w:name="High Tower Text">
    <w:panose1 w:val="02040502050506030303"/>
    <w:charset w:val="00"/>
    <w:family w:val="roman"/>
    <w:pitch w:val="default"/>
  </w:font>
  <w:font w:name="Heather BTN">
    <w:panose1 w:val="030C0604030107040C05"/>
    <w:charset w:val="00"/>
    <w:family w:val="script"/>
    <w:pitch w:val="default"/>
  </w:font>
  <w:font w:name="HP Simplified Hans Light">
    <w:panose1 w:val="020B0300000000000000"/>
    <w:charset w:val="00"/>
    <w:family w:val="swiss"/>
    <w:pitch w:val="default"/>
  </w:font>
  <w:font w:name="HP Simplified Jpan">
    <w:panose1 w:val="020B0500000000000000"/>
    <w:charset w:val="00"/>
    <w:family w:val="swiss"/>
    <w:pitch w:val="default"/>
  </w:font>
  <w:font w:name="HP Simplified Jpan Light">
    <w:panose1 w:val="020B0300000000000000"/>
    <w:charset w:val="00"/>
    <w:family w:val="swiss"/>
    <w:pitch w:val="default"/>
  </w:font>
  <w:font w:name="HP Simplified Light">
    <w:panose1 w:val="020B0404020204020204"/>
    <w:charset w:val="00"/>
    <w:family w:val="swiss"/>
    <w:pitch w:val="default"/>
  </w:font>
  <w:font w:name="Humanst521 BT">
    <w:panose1 w:val="020B0602020204020204"/>
    <w:charset w:val="00"/>
    <w:family w:val="swiss"/>
    <w:pitch w:val="default"/>
  </w:font>
  <w:font w:name="IguanaLover BTN">
    <w:panose1 w:val="020B0604020102040201"/>
    <w:charset w:val="00"/>
    <w:family w:val="swiss"/>
    <w:pitch w:val="default"/>
  </w:font>
  <w:font w:name="Impact">
    <w:panose1 w:val="020B0806030902050204"/>
    <w:charset w:val="00"/>
    <w:family w:val="swiss"/>
    <w:pitch w:val="default"/>
  </w:font>
  <w:font w:name="Imperial BT">
    <w:panose1 w:val="02040603050505020304"/>
    <w:charset w:val="00"/>
    <w:family w:val="roman"/>
    <w:pitch w:val="default"/>
  </w:font>
  <w:font w:name="HP Simplified Hans">
    <w:panose1 w:val="020B0500000000000000"/>
    <w:charset w:val="00"/>
    <w:family w:val="swiss"/>
    <w:pitch w:val="default"/>
  </w:font>
  <w:font w:name="Ink Free">
    <w:panose1 w:val="03080402000500000000"/>
    <w:charset w:val="00"/>
    <w:family w:val="script"/>
    <w:pitch w:val="default"/>
  </w:font>
  <w:font w:name="Jagger SF">
    <w:panose1 w:val="00000000000000000000"/>
    <w:charset w:val="00"/>
    <w:family w:val="auto"/>
    <w:pitch w:val="default"/>
  </w:font>
  <w:font w:name="Javanese Text">
    <w:panose1 w:val="02000000000000000000"/>
    <w:charset w:val="00"/>
    <w:family w:val="auto"/>
    <w:pitch w:val="default"/>
  </w:font>
  <w:font w:name="Jokerman">
    <w:panose1 w:val="04090605060D06020702"/>
    <w:charset w:val="00"/>
    <w:family w:val="decorative"/>
    <w:pitch w:val="default"/>
  </w:font>
  <w:font w:name="Juice ITC">
    <w:panose1 w:val="04040403040A02020202"/>
    <w:charset w:val="00"/>
    <w:family w:val="decorative"/>
    <w:pitch w:val="default"/>
  </w:font>
  <w:font w:name="Kunstler Script">
    <w:panose1 w:val="030304020206070D0D06"/>
    <w:charset w:val="00"/>
    <w:family w:val="script"/>
    <w:pitch w:val="default"/>
  </w:font>
  <w:font w:name="LA Headlights BTN">
    <w:panose1 w:val="020F0506040407060506"/>
    <w:charset w:val="00"/>
    <w:family w:val="swiss"/>
    <w:pitch w:val="default"/>
  </w:font>
  <w:font w:name="Leelawadee UI">
    <w:panose1 w:val="020B0502040204020203"/>
    <w:charset w:val="00"/>
    <w:family w:val="swiss"/>
    <w:pitch w:val="default"/>
  </w:font>
  <w:font w:name="Leelawadee UI Semilight">
    <w:panose1 w:val="020B0402040204020203"/>
    <w:charset w:val="00"/>
    <w:family w:val="swiss"/>
    <w:pitch w:val="default"/>
  </w:font>
  <w:font w:name="Life BT">
    <w:panose1 w:val="02020602060305020304"/>
    <w:charset w:val="00"/>
    <w:family w:val="roman"/>
    <w:pitch w:val="default"/>
  </w:font>
  <w:font w:name="Lydian BT">
    <w:panose1 w:val="03020702040502020203"/>
    <w:charset w:val="00"/>
    <w:family w:val="script"/>
    <w:pitch w:val="default"/>
  </w:font>
  <w:font w:name="Malgun Gothic">
    <w:panose1 w:val="020B0503020000020004"/>
    <w:charset w:val="00"/>
    <w:family w:val="swiss"/>
    <w:pitch w:val="default"/>
  </w:font>
  <w:font w:name="Malgun Gothic Semilight">
    <w:panose1 w:val="020B0502040204020203"/>
    <w:charset w:val="00"/>
    <w:family w:val="swiss"/>
    <w:pitch w:val="default"/>
  </w:font>
  <w:font w:name="Magneto">
    <w:panose1 w:val="04030805050802020D02"/>
    <w:charset w:val="00"/>
    <w:family w:val="decorative"/>
    <w:pitch w:val="default"/>
  </w:font>
  <w:font w:name="Marlett">
    <w:panose1 w:val="00000000000000000000"/>
    <w:charset w:val="02"/>
    <w:family w:val="auto"/>
    <w:pitch w:val="default"/>
  </w:font>
  <w:font w:name="Matura MT Script Capitals">
    <w:panose1 w:val="03020802060602070202"/>
    <w:charset w:val="00"/>
    <w:family w:val="script"/>
    <w:pitch w:val="default"/>
  </w:font>
  <w:font w:name="MICR">
    <w:panose1 w:val="00000400000000000000"/>
    <w:charset w:val="00"/>
    <w:family w:val="auto"/>
    <w:pitch w:val="default"/>
  </w:font>
  <w:font w:name="Microsoft JhengHei">
    <w:panose1 w:val="020B0604030504040204"/>
    <w:charset w:val="00"/>
    <w:family w:val="swiss"/>
    <w:pitch w:val="default"/>
  </w:font>
  <w:font w:name="Microsoft YaHei Light">
    <w:panose1 w:val="020B0502040204020203"/>
    <w:charset w:val="00"/>
    <w:family w:val="swiss"/>
    <w:pitch w:val="default"/>
  </w:font>
  <w:font w:name="Microsoft Tai Le">
    <w:panose1 w:val="020B0502040204020203"/>
    <w:charset w:val="00"/>
    <w:family w:val="swiss"/>
    <w:pitch w:val="default"/>
  </w:font>
  <w:font w:name="Microsoft Sans Serif">
    <w:panose1 w:val="020B0604020202020204"/>
    <w:charset w:val="00"/>
    <w:family w:val="swiss"/>
    <w:pitch w:val="default"/>
  </w:font>
  <w:font w:name="Microsoft JhengHei UI">
    <w:panose1 w:val="020B0604030504040204"/>
    <w:charset w:val="00"/>
    <w:family w:val="swiss"/>
    <w:pitch w:val="default"/>
  </w:font>
  <w:font w:name="Microsoft JhengHei UI Light">
    <w:panose1 w:val="020B0304030504040204"/>
    <w:charset w:val="00"/>
    <w:family w:val="swiss"/>
    <w:pitch w:val="default"/>
  </w:font>
  <w:font w:name="Microsoft New Tai Lue">
    <w:panose1 w:val="020B0502040204020203"/>
    <w:charset w:val="00"/>
    <w:family w:val="swiss"/>
    <w:pitch w:val="default"/>
  </w:font>
  <w:font w:name="Microsoft YaHei">
    <w:panose1 w:val="020B0503020204020204"/>
    <w:charset w:val="00"/>
    <w:family w:val="swiss"/>
    <w:pitch w:val="default"/>
  </w:font>
  <w:font w:name="Microsoft YaHei UI">
    <w:panose1 w:val="020B0503020204020204"/>
    <w:charset w:val="00"/>
    <w:family w:val="swiss"/>
    <w:pitch w:val="default"/>
  </w:font>
  <w:font w:name="Microsoft YaHei UI Light">
    <w:panose1 w:val="020B0502040204020203"/>
    <w:charset w:val="00"/>
    <w:family w:val="swiss"/>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footnote w:id="1">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lang w:val="en-us" w:eastAsia="zh-cn" w:bidi="ar-sa"/>
        </w:rPr>
      </w:pPr>
      <w:r>
        <w:rPr>
          <w:rStyle w:val="char1"/>
          <w:rFonts w:ascii="Calibri" w:hAnsi="Calibri" w:eastAsia="Calibri" w:cs="Calibri"/>
          <w:sz w:val="24"/>
          <w:szCs w:val="24"/>
          <w:lang w:val="en-us" w:eastAsia="zh-cn" w:bidi="ar-sa"/>
        </w:rPr>
      </w:r>
      <w:r>
        <w:rPr>
          <w:rStyle w:val="char1"/>
          <w:rFonts w:ascii="Calibri" w:hAnsi="Calibri" w:eastAsia="Calibri" w:cs="Calibri"/>
          <w:sz w:val="24"/>
          <w:szCs w:val="24"/>
          <w:lang w:val="en-us" w:eastAsia="zh-cn" w:bidi="ar-sa"/>
        </w:rPr>
        <w:footnoteRef/>
      </w:r>
      <w:r>
        <w:rPr>
          <w:rFonts w:ascii="Calibri" w:hAnsi="Calibri" w:eastAsia="Calibri" w:cs="Calibri"/>
          <w:sz w:val="24"/>
          <w:szCs w:val="24"/>
          <w:lang w:val="en-us" w:eastAsia="zh-cn" w:bidi="ar-sa"/>
        </w:rPr>
        <w:t xml:space="preserve"> Ray, S. K. (2002). </w:t>
      </w:r>
      <w:hyperlink r:id="rId1" w:history="1">
        <w:r>
          <w:rPr>
            <w:rFonts w:ascii="Calibri" w:hAnsi="Calibri" w:eastAsia="Calibri" w:cs="Calibri"/>
            <w:i/>
            <w:iCs/>
            <w:color w:val="0000ff"/>
            <w:sz w:val="24"/>
            <w:szCs w:val="24"/>
            <w:u w:color="auto" w:val="single"/>
            <w:lang w:val="en-us" w:eastAsia="zh-cn" w:bidi="ar-sa"/>
          </w:rPr>
          <w:t>St. John’s Gospel: A Bible Study Guide and Commentary</w:t>
        </w:r>
      </w:hyperlink>
      <w:r>
        <w:rPr>
          <w:rFonts w:ascii="Calibri" w:hAnsi="Calibri" w:eastAsia="Calibri" w:cs="Calibri"/>
          <w:sz w:val="24"/>
          <w:szCs w:val="24"/>
          <w:lang w:val="en-us" w:eastAsia="zh-cn" w:bidi="ar-sa"/>
        </w:rPr>
        <w:t xml:space="preserve"> (p. 28). San Francisco: Ignatius Press.</w:t>
      </w:r>
      <w:r>
        <w:rPr>
          <w:rFonts w:ascii="Calibri" w:hAnsi="Calibri" w:eastAsia="Calibri" w:cs="Calibri"/>
          <w:sz w:val="24"/>
          <w:szCs w:val="24"/>
          <w:lang w:val="en-us" w:eastAsia="zh-cn" w:bidi="ar-sa"/>
        </w:rPr>
      </w:r>
    </w:p>
  </w:footnote>
  <w:footnote w:id="2">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2" w:history="1">
        <w:r>
          <w:rPr>
            <w:rFonts w:ascii="Calibri" w:hAnsi="Calibri" w:eastAsia="Calibri" w:cs="Calibri"/>
            <w:i/>
            <w:iCs/>
            <w:color w:val="0000ff"/>
            <w:sz w:val="24"/>
            <w:szCs w:val="24"/>
            <w:u w:color="auto" w:val="single"/>
          </w:rPr>
          <w:t>The Holy Bible</w:t>
        </w:r>
      </w:hyperlink>
      <w:r>
        <w:rPr>
          <w:rFonts w:ascii="Calibri" w:hAnsi="Calibri" w:eastAsia="Calibri" w:cs="Calibri"/>
          <w:sz w:val="24"/>
          <w:szCs w:val="24"/>
        </w:rPr>
        <w:t>. (2006). (Revised Standard Version; Second Catholic Edition, Ro 12:3–8). San Francisco: Ignatius Press.</w:t>
      </w:r>
    </w:p>
  </w:footnote>
  <w:footnote w:id="3">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3" w:history="1">
        <w:r>
          <w:rPr>
            <w:rFonts w:ascii="Calibri" w:hAnsi="Calibri" w:eastAsia="Calibri" w:cs="Calibri"/>
            <w:i/>
            <w:iCs/>
            <w:color w:val="0000ff"/>
            <w:sz w:val="24"/>
            <w:szCs w:val="24"/>
            <w:u w:color="auto" w:val="single"/>
          </w:rPr>
          <w:t>Saint John’s Gospel</w:t>
        </w:r>
      </w:hyperlink>
      <w:r>
        <w:rPr>
          <w:rFonts w:ascii="Calibri" w:hAnsi="Calibri" w:eastAsia="Calibri" w:cs="Calibri"/>
          <w:sz w:val="24"/>
          <w:szCs w:val="24"/>
        </w:rPr>
        <w:t>. (2005). (p. 157). Dublin; New York: Four Courts Press; Scepter Publishers.</w:t>
      </w:r>
    </w:p>
  </w:footnote>
  <w:footnote w:id="4">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Mitch, C. (2010). </w:t>
      </w:r>
      <w:hyperlink r:id="rId4" w:history="1">
        <w:r>
          <w:rPr>
            <w:rFonts w:ascii="Calibri" w:hAnsi="Calibri" w:eastAsia="Calibri" w:cs="Calibri"/>
            <w:color w:val="0000ff"/>
            <w:sz w:val="24"/>
            <w:szCs w:val="24"/>
            <w:u w:color="auto" w:val="single"/>
          </w:rPr>
          <w:t>Introduction to the Gospels</w:t>
        </w:r>
      </w:hyperlink>
      <w:r>
        <w:rPr>
          <w:rFonts w:ascii="Calibri" w:hAnsi="Calibri" w:eastAsia="Calibri" w:cs="Calibri"/>
          <w:sz w:val="24"/>
          <w:szCs w:val="24"/>
        </w:rPr>
        <w:t xml:space="preserve">. In </w:t>
      </w:r>
      <w:r>
        <w:rPr>
          <w:rFonts w:ascii="Calibri" w:hAnsi="Calibri" w:eastAsia="Calibri" w:cs="Calibri"/>
          <w:i/>
          <w:iCs/>
          <w:sz w:val="24"/>
          <w:szCs w:val="24"/>
        </w:rPr>
        <w:t>The Ignatius Catholic Study Bible: The New Testament</w:t>
      </w:r>
      <w:r>
        <w:rPr>
          <w:rFonts w:ascii="Calibri" w:hAnsi="Calibri" w:eastAsia="Calibri" w:cs="Calibri"/>
          <w:sz w:val="24"/>
          <w:szCs w:val="24"/>
        </w:rPr>
        <w:t xml:space="preserve"> (p. 191). San Francisco: Ignatius Press.</w:t>
      </w:r>
    </w:p>
  </w:footnote>
  <w:footnote w:id="5">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5" w:history="1">
        <w:r>
          <w:rPr>
            <w:rFonts w:ascii="Calibri" w:hAnsi="Calibri" w:eastAsia="Calibri" w:cs="Calibri"/>
            <w:i/>
            <w:iCs/>
            <w:color w:val="0000ff"/>
            <w:sz w:val="24"/>
            <w:szCs w:val="24"/>
            <w:u w:color="auto" w:val="single"/>
          </w:rPr>
          <w:t>Saint John’s Gospel</w:t>
        </w:r>
      </w:hyperlink>
      <w:r>
        <w:rPr>
          <w:rFonts w:ascii="Calibri" w:hAnsi="Calibri" w:eastAsia="Calibri" w:cs="Calibri"/>
          <w:sz w:val="24"/>
          <w:szCs w:val="24"/>
        </w:rPr>
        <w:t>. (2005). (p. 159). Dublin; New York: Four Courts Press; Scepter Publishers.</w:t>
      </w:r>
    </w:p>
  </w:footnote>
  <w:footnote w:id="6">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Thomas Aquinas. (1845). </w:t>
      </w:r>
      <w:hyperlink r:id="rId6" w:history="1">
        <w:r>
          <w:rPr>
            <w:rFonts w:ascii="Calibri" w:hAnsi="Calibri" w:eastAsia="Calibri" w:cs="Calibri"/>
            <w:i/>
            <w:iCs/>
            <w:color w:val="0000ff"/>
            <w:sz w:val="24"/>
            <w:szCs w:val="24"/>
            <w:u w:color="auto" w:val="single"/>
          </w:rPr>
          <w:t>Catena Aurea: Commentary on the Four Gospels, Collected out of the Works of the Fathers: St. John</w:t>
        </w:r>
      </w:hyperlink>
      <w:r>
        <w:rPr>
          <w:rFonts w:ascii="Calibri" w:hAnsi="Calibri" w:eastAsia="Calibri" w:cs="Calibri"/>
          <w:sz w:val="24"/>
          <w:szCs w:val="24"/>
        </w:rPr>
        <w:t>. (J. H. Newman, Ed.) (Vol. 4, p. 480). Oxford: John Henry Parker.</w:t>
      </w:r>
    </w:p>
  </w:footnote>
  <w:footnote w:id="7">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Thomas Aquinas. (1845). </w:t>
      </w:r>
      <w:hyperlink r:id="rId7" w:history="1">
        <w:r>
          <w:rPr>
            <w:rFonts w:ascii="Calibri" w:hAnsi="Calibri" w:eastAsia="Calibri" w:cs="Calibri"/>
            <w:i/>
            <w:iCs/>
            <w:color w:val="0000ff"/>
            <w:sz w:val="24"/>
            <w:szCs w:val="24"/>
            <w:u w:color="auto" w:val="single"/>
          </w:rPr>
          <w:t>Catena Aurea: Commentary on the Four Gospels, Collected out of the Works of the Fathers: St. John</w:t>
        </w:r>
      </w:hyperlink>
      <w:r>
        <w:rPr>
          <w:rFonts w:ascii="Calibri" w:hAnsi="Calibri" w:eastAsia="Calibri" w:cs="Calibri"/>
          <w:sz w:val="24"/>
          <w:szCs w:val="24"/>
        </w:rPr>
        <w:t>. (J. H. Newman, Ed.) (Vol. 4, p. 480). Oxford: John Henry Parker.</w:t>
      </w:r>
    </w:p>
  </w:footnote>
  <w:footnote w:id="8">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8" w:history="1">
        <w:r>
          <w:rPr>
            <w:rFonts w:ascii="Calibri" w:hAnsi="Calibri" w:eastAsia="Calibri" w:cs="Calibri"/>
            <w:i/>
            <w:iCs/>
            <w:color w:val="0000ff"/>
            <w:sz w:val="24"/>
            <w:szCs w:val="24"/>
            <w:u w:color="auto" w:val="single"/>
          </w:rPr>
          <w:t>Saint John’s Gospel</w:t>
        </w:r>
      </w:hyperlink>
      <w:r>
        <w:rPr>
          <w:rFonts w:ascii="Calibri" w:hAnsi="Calibri" w:eastAsia="Calibri" w:cs="Calibri"/>
          <w:sz w:val="24"/>
          <w:szCs w:val="24"/>
        </w:rPr>
        <w:t>. (2005). (p. 160). Dublin; New York: Four Courts Press; Scepter Publishers.</w:t>
      </w:r>
    </w:p>
  </w:footnote>
  <w:footnote w:id="9">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Mitch, C. (2010). </w:t>
      </w:r>
      <w:hyperlink r:id="rId9" w:history="1">
        <w:r>
          <w:rPr>
            <w:rFonts w:ascii="Calibri" w:hAnsi="Calibri" w:eastAsia="Calibri" w:cs="Calibri"/>
            <w:color w:val="0000ff"/>
            <w:sz w:val="24"/>
            <w:szCs w:val="24"/>
            <w:u w:color="auto" w:val="single"/>
          </w:rPr>
          <w:t>Introduction to the Gospels</w:t>
        </w:r>
      </w:hyperlink>
      <w:r>
        <w:rPr>
          <w:rFonts w:ascii="Calibri" w:hAnsi="Calibri" w:eastAsia="Calibri" w:cs="Calibri"/>
          <w:sz w:val="24"/>
          <w:szCs w:val="24"/>
        </w:rPr>
        <w:t xml:space="preserve">. In </w:t>
      </w:r>
      <w:r>
        <w:rPr>
          <w:rFonts w:ascii="Calibri" w:hAnsi="Calibri" w:eastAsia="Calibri" w:cs="Calibri"/>
          <w:i/>
          <w:iCs/>
          <w:sz w:val="24"/>
          <w:szCs w:val="24"/>
        </w:rPr>
        <w:t>The Ignatius Catholic Study Bible: The New Testament</w:t>
      </w:r>
      <w:r>
        <w:rPr>
          <w:rFonts w:ascii="Calibri" w:hAnsi="Calibri" w:eastAsia="Calibri" w:cs="Calibri"/>
          <w:sz w:val="24"/>
          <w:szCs w:val="24"/>
        </w:rPr>
        <w:t xml:space="preserve"> (p. 191). San Francisco: Ignatius Press.</w:t>
      </w:r>
    </w:p>
  </w:footnote>
  <w:footnote w:id="10">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Thomas Aquinas. (1845). </w:t>
      </w:r>
      <w:hyperlink r:id="rId10" w:history="1">
        <w:r>
          <w:rPr>
            <w:rFonts w:ascii="Calibri" w:hAnsi="Calibri" w:eastAsia="Calibri" w:cs="Calibri"/>
            <w:i/>
            <w:iCs/>
            <w:color w:val="0000ff"/>
            <w:sz w:val="24"/>
            <w:szCs w:val="24"/>
            <w:u w:color="auto" w:val="single"/>
          </w:rPr>
          <w:t>Catena Aurea: Commentary on the Four Gospels, Collected out of the Works of the Fathers: St. John</w:t>
        </w:r>
      </w:hyperlink>
      <w:r>
        <w:rPr>
          <w:rFonts w:ascii="Calibri" w:hAnsi="Calibri" w:eastAsia="Calibri" w:cs="Calibri"/>
          <w:sz w:val="24"/>
          <w:szCs w:val="24"/>
        </w:rPr>
        <w:t>. (J. H. Newman, Ed.) (Vol. 4, p. 484). Oxford: John Henry Parker.</w:t>
      </w:r>
    </w:p>
  </w:footnote>
  <w:footnote w:id="11">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Thomas Aquinas. (1845). </w:t>
      </w:r>
      <w:hyperlink r:id="rId11" w:history="1">
        <w:r>
          <w:rPr>
            <w:rFonts w:ascii="Calibri" w:hAnsi="Calibri" w:eastAsia="Calibri" w:cs="Calibri"/>
            <w:i/>
            <w:iCs/>
            <w:color w:val="0000ff"/>
            <w:sz w:val="24"/>
            <w:szCs w:val="24"/>
            <w:u w:color="auto" w:val="single"/>
          </w:rPr>
          <w:t>Catena Aurea: Commentary on the Four Gospels, Collected out of the Works of the Fathers: St. John</w:t>
        </w:r>
      </w:hyperlink>
      <w:r>
        <w:rPr>
          <w:rFonts w:ascii="Calibri" w:hAnsi="Calibri" w:eastAsia="Calibri" w:cs="Calibri"/>
          <w:sz w:val="24"/>
          <w:szCs w:val="24"/>
        </w:rPr>
        <w:t>. (J. H. Newman, Ed.) (Vol. 4, p. 484). Oxford: John Henry Parker.</w:t>
      </w:r>
    </w:p>
  </w:footnote>
  <w:footnote w:id="12">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Ray, S. K. (2002). </w:t>
      </w:r>
      <w:hyperlink r:id="rId12" w:history="1">
        <w:r>
          <w:rPr>
            <w:rFonts w:ascii="Calibri" w:hAnsi="Calibri" w:eastAsia="Calibri" w:cs="Calibri"/>
            <w:i/>
            <w:iCs/>
            <w:color w:val="0000ff"/>
            <w:sz w:val="24"/>
            <w:szCs w:val="24"/>
            <w:u w:color="auto" w:val="single"/>
          </w:rPr>
          <w:t>St. John’s Gospel: A Bible Study Guide and Commentary</w:t>
        </w:r>
      </w:hyperlink>
      <w:r>
        <w:rPr>
          <w:rFonts w:ascii="Calibri" w:hAnsi="Calibri" w:eastAsia="Calibri" w:cs="Calibri"/>
          <w:sz w:val="24"/>
          <w:szCs w:val="24"/>
        </w:rPr>
        <w:t xml:space="preserve"> (p. 284). San Francisco: Ignatius Press.</w:t>
      </w:r>
    </w:p>
  </w:footnote>
  <w:footnote w:id="13">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13" w:history="1">
        <w:r>
          <w:rPr>
            <w:rFonts w:ascii="Calibri" w:hAnsi="Calibri" w:eastAsia="Calibri" w:cs="Calibri"/>
            <w:i/>
            <w:iCs/>
            <w:color w:val="0000ff"/>
            <w:sz w:val="24"/>
            <w:szCs w:val="24"/>
            <w:u w:color="auto" w:val="single"/>
          </w:rPr>
          <w:t>Saint John’s Gospel</w:t>
        </w:r>
      </w:hyperlink>
      <w:r>
        <w:rPr>
          <w:rFonts w:ascii="Calibri" w:hAnsi="Calibri" w:eastAsia="Calibri" w:cs="Calibri"/>
          <w:sz w:val="24"/>
          <w:szCs w:val="24"/>
        </w:rPr>
        <w:t>. (2005). (pp. 160–161). Dublin; New York: Four Courts Press; Scepter Publishers.</w:t>
      </w:r>
    </w:p>
  </w:footnote>
  <w:footnote w:id="14">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Thomas Aquinas. (1845). </w:t>
      </w:r>
      <w:hyperlink r:id="rId14" w:history="1">
        <w:r>
          <w:rPr>
            <w:rFonts w:ascii="Calibri" w:hAnsi="Calibri" w:eastAsia="Calibri" w:cs="Calibri"/>
            <w:i/>
            <w:iCs/>
            <w:color w:val="0000ff"/>
            <w:sz w:val="24"/>
            <w:szCs w:val="24"/>
            <w:u w:color="auto" w:val="single"/>
          </w:rPr>
          <w:t>Catena Aurea: Commentary on the Four Gospels, Collected out of the Works of the Fathers: St. John</w:t>
        </w:r>
      </w:hyperlink>
      <w:r>
        <w:rPr>
          <w:rFonts w:ascii="Calibri" w:hAnsi="Calibri" w:eastAsia="Calibri" w:cs="Calibri"/>
          <w:sz w:val="24"/>
          <w:szCs w:val="24"/>
        </w:rPr>
        <w:t>. (J. H. Newman, Ed.) (Vol. 4, p. 488). Oxford: John Henry Parker.</w:t>
      </w:r>
    </w:p>
  </w:footnote>
  <w:footnote w:id="15">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15" w:history="1">
        <w:r>
          <w:rPr>
            <w:rFonts w:ascii="Calibri" w:hAnsi="Calibri" w:eastAsia="Calibri" w:cs="Calibri"/>
            <w:i/>
            <w:iCs/>
            <w:color w:val="0000ff"/>
            <w:sz w:val="24"/>
            <w:szCs w:val="24"/>
            <w:u w:color="auto" w:val="single"/>
          </w:rPr>
          <w:t>Saint John’s Gospel</w:t>
        </w:r>
      </w:hyperlink>
      <w:r>
        <w:rPr>
          <w:rFonts w:ascii="Calibri" w:hAnsi="Calibri" w:eastAsia="Calibri" w:cs="Calibri"/>
          <w:sz w:val="24"/>
          <w:szCs w:val="24"/>
        </w:rPr>
        <w:t>. (2005). (pp. 161–162). Dublin; New York: Four Courts Press; Scepter Publishers.</w:t>
      </w:r>
    </w:p>
  </w:footnote>
  <w:footnote w:id="16">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Mitch, C. (2010). </w:t>
      </w:r>
      <w:hyperlink r:id="rId16" w:history="1">
        <w:r>
          <w:rPr>
            <w:rFonts w:ascii="Calibri" w:hAnsi="Calibri" w:eastAsia="Calibri" w:cs="Calibri"/>
            <w:color w:val="0000ff"/>
            <w:sz w:val="24"/>
            <w:szCs w:val="24"/>
            <w:u w:color="auto" w:val="single"/>
          </w:rPr>
          <w:t>Introduction to the Gospels</w:t>
        </w:r>
      </w:hyperlink>
      <w:r>
        <w:rPr>
          <w:rFonts w:ascii="Calibri" w:hAnsi="Calibri" w:eastAsia="Calibri" w:cs="Calibri"/>
          <w:sz w:val="24"/>
          <w:szCs w:val="24"/>
        </w:rPr>
        <w:t xml:space="preserve">. In </w:t>
      </w:r>
      <w:r>
        <w:rPr>
          <w:rFonts w:ascii="Calibri" w:hAnsi="Calibri" w:eastAsia="Calibri" w:cs="Calibri"/>
          <w:i/>
          <w:iCs/>
          <w:sz w:val="24"/>
          <w:szCs w:val="24"/>
        </w:rPr>
        <w:t>The Ignatius Catholic Study Bible: The New Testament</w:t>
      </w:r>
      <w:r>
        <w:rPr>
          <w:rFonts w:ascii="Calibri" w:hAnsi="Calibri" w:eastAsia="Calibri" w:cs="Calibri"/>
          <w:sz w:val="24"/>
          <w:szCs w:val="24"/>
        </w:rPr>
        <w:t xml:space="preserve"> (pp. 191–192). San Francisco: Ignatius Press.</w:t>
      </w:r>
    </w:p>
  </w:footnote>
  <w:footnote w:id="17">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Ray, S. K. (2002). </w:t>
      </w:r>
      <w:hyperlink r:id="rId17" w:history="1">
        <w:r>
          <w:rPr>
            <w:rFonts w:ascii="Calibri" w:hAnsi="Calibri" w:eastAsia="Calibri" w:cs="Calibri"/>
            <w:i/>
            <w:iCs/>
            <w:color w:val="0000ff"/>
            <w:sz w:val="24"/>
            <w:szCs w:val="24"/>
            <w:u w:color="auto" w:val="single"/>
          </w:rPr>
          <w:t>St. John’s Gospel: A Bible Study Guide and Commentary</w:t>
        </w:r>
      </w:hyperlink>
      <w:r>
        <w:rPr>
          <w:rFonts w:ascii="Calibri" w:hAnsi="Calibri" w:eastAsia="Calibri" w:cs="Calibri"/>
          <w:sz w:val="24"/>
          <w:szCs w:val="24"/>
        </w:rPr>
        <w:t xml:space="preserve"> (p. 288). San Francisco: Ignatius Press.</w:t>
      </w:r>
    </w:p>
  </w:footnote>
  <w:footnote w:id="18">
    <w:p>
      <w:pP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sz w:val="24"/>
          <w:szCs w:val="24"/>
        </w:rPr>
      </w:pPr>
      <w:r>
        <w:rPr>
          <w:rStyle w:val="char1"/>
          <w:rFonts w:ascii="Calibri" w:hAnsi="Calibri" w:eastAsia="Calibri" w:cs="Calibri"/>
          <w:sz w:val="24"/>
          <w:szCs w:val="24"/>
        </w:rPr>
      </w:r>
      <w:r>
        <w:rPr>
          <w:rStyle w:val="char1"/>
          <w:rFonts w:ascii="Calibri" w:hAnsi="Calibri" w:eastAsia="Calibri" w:cs="Calibri"/>
          <w:sz w:val="24"/>
          <w:szCs w:val="24"/>
        </w:rPr>
        <w:footnoteRef/>
      </w:r>
      <w:r>
        <w:rPr>
          <w:rFonts w:ascii="Calibri" w:hAnsi="Calibri" w:eastAsia="Calibri" w:cs="Calibri"/>
          <w:sz w:val="24"/>
          <w:szCs w:val="24"/>
        </w:rPr>
        <w:t xml:space="preserve"> </w:t>
      </w:r>
      <w:hyperlink r:id="rId18" w:history="1">
        <w:r>
          <w:rPr>
            <w:rFonts w:ascii="Calibri" w:hAnsi="Calibri" w:eastAsia="Calibri" w:cs="Calibri"/>
            <w:i/>
            <w:iCs/>
            <w:color w:val="0000ff"/>
            <w:sz w:val="24"/>
            <w:szCs w:val="24"/>
            <w:u w:color="auto" w:val="single"/>
          </w:rPr>
          <w:t>The Holy Bible</w:t>
        </w:r>
      </w:hyperlink>
      <w:r>
        <w:rPr>
          <w:rFonts w:ascii="Calibri" w:hAnsi="Calibri" w:eastAsia="Calibri" w:cs="Calibri"/>
          <w:sz w:val="24"/>
          <w:szCs w:val="24"/>
        </w:rPr>
        <w:t>. (2006). (Revised Standard Version; Second Catholic Edition, 1 Jn 3:11–18). San Francisco: Ignatius Press.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240"/>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637538735" w:val="1033" w:fileVer="342" w:fileVer64="64" w:fileVerOS="4"/>
  <w:guidesAndGrid showGuides="1" lockGuides="0" snapToGuides="1" snapToPageMargins="0" snapToOtherObjects="1"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character" w:styleId="char0" w:default="1">
    <w:name w:val="Default Paragraph Font"/>
  </w:style>
  <w:style w:type="character" w:styleId="char1">
    <w:name w:val="Footnote Reference"/>
    <w:rPr>
      <w:vertAlign w:val="superscript"/>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character" w:styleId="char0" w:default="1">
    <w:name w:val="Default Paragraph Font"/>
  </w:style>
  <w:style w:type="character" w:styleId="char1">
    <w:name w:val="Footnote Reference"/>
    <w:rPr>
      <w:vertAlign w:val="superscript"/>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footnotes" Target="footnotes.xml"/></Relationships>
</file>

<file path=word/_rels/footnotes.xml.rels><?xml version="1.0" encoding="UTF-8" standalone="yes" ?>
<Relationships xmlns="http://schemas.openxmlformats.org/package/2006/relationships"><Relationship Id="rId1" Type="http://schemas.openxmlformats.org/officeDocument/2006/relationships/hyperlink" Target="https://ref.ly/logosres/stjhnsgsplry?ref=Page.p+28&amp;off=573&amp;ctx=ripture.+He+prayed,%0A~Lord,+inspire+us+to+" TargetMode="External"/><Relationship Id="rId2" Type="http://schemas.openxmlformats.org/officeDocument/2006/relationships/hyperlink" Target="https://ref.ly/logosres/rsv2ce?ref=BibleRSVCE.Ro12.3&amp;off=219&amp;ctx=od+has+assigned+him.~+4&#160;&#182;+For+as+in+one+b" TargetMode="External"/><Relationship Id="rId3" Type="http://schemas.openxmlformats.org/officeDocument/2006/relationships/hyperlink" Target="https://ref.ly/logosres/navarrentstandard64jn?ref=Bible.Jn15.1&amp;off=0&amp;ctx=e+branches+(15:1&#8211;8)%0A~15:1.+The+comparison" TargetMode="External"/><Relationship Id="rId4" Type="http://schemas.openxmlformats.org/officeDocument/2006/relationships/hyperlink" Target="https://ref.ly/logosres/cathstudybiblent?ref=BibleRSVCE.Jn15.1-11&amp;off=3&amp;ctx=+&#65279;+~15:1&#8211;11+The+metaphor+of+the+vine+unde" TargetMode="External"/><Relationship Id="rId5" Type="http://schemas.openxmlformats.org/officeDocument/2006/relationships/hyperlink" Target="https://ref.ly/logosres/navarrentstandard64jn?ref=Bible.Jn15.6&amp;off=0&amp;ctx=m+actuositatem,+4).%0A~15:6.+If+a+person+is" TargetMode="External"/><Relationship Id="rId6" Type="http://schemas.openxmlformats.org/officeDocument/2006/relationships/hyperlink" Target="https://ref.ly/logosres/cataur64jn?ref=Bible.Jn15.4-7&amp;off=2113&amp;ctx=h+forth+much+fruit.%0A~Augustine.+(Tract.+l" TargetMode="External"/><Relationship Id="rId7" Type="http://schemas.openxmlformats.org/officeDocument/2006/relationships/hyperlink" Target="https://ref.ly/logosres/cataur64jn?ref=Bible.Jn15.4-7&amp;off=3299&amp;ctx=nd+they+are+burned.%0A~Augustine.+(Tract.+l" TargetMode="External"/><Relationship Id="rId8" Type="http://schemas.openxmlformats.org/officeDocument/2006/relationships/hyperlink" Target="https://ref.ly/logosres/navarrentstandard64jn?ref=Bible.Jn15.12-15&amp;off=673&amp;ctx=riends&#8217;+(Jn+15:15).+~When+we+decide+to+be" TargetMode="External"/><Relationship Id="rId9" Type="http://schemas.openxmlformats.org/officeDocument/2006/relationships/hyperlink" Target="https://ref.ly/logosres/cathstudybiblent?ref=BibleRSVCE.Jn15.10&amp;off=0&amp;ctx=e+grapes+they+bear.%0A~15:10+my+Father&#8217;s+co" TargetMode="External"/><Relationship Id="rId10" Type="http://schemas.openxmlformats.org/officeDocument/2006/relationships/hyperlink" Target="https://ref.ly/logosres/cataur64jn?ref=Bible.Jn15.12-16&amp;off=1314&amp;ctx=n+the+root+of+love.%0A~Augustine.+(Tract.+l" TargetMode="External"/><Relationship Id="rId11" Type="http://schemas.openxmlformats.org/officeDocument/2006/relationships/hyperlink" Target="https://ref.ly/logosres/cataur64jn?ref=Bible.Jn15.12-16&amp;off=1879&amp;ctx=y+love+one+another.%0A~Gregory.+(Hom.+xxvii" TargetMode="External"/><Relationship Id="rId12" Type="http://schemas.openxmlformats.org/officeDocument/2006/relationships/hyperlink" Target="https://ref.ly/logosres/stjhnsgsplry?ref=Bible.Jn15.1-17&amp;off=12158&amp;ctx=+14;+cf.+Mt+12:50)?%0A~&#187;+Historical+note:+&#8220;" TargetMode="External"/><Relationship Id="rId13" Type="http://schemas.openxmlformats.org/officeDocument/2006/relationships/hyperlink" Target="https://ref.ly/logosres/navarrentstandard64jn?ref=Bible.Jn15.16&amp;off=0&amp;ctx=&#225;,+Friends+of+God).%0A~15:16.+There+are+thr" TargetMode="External"/><Relationship Id="rId14" Type="http://schemas.openxmlformats.org/officeDocument/2006/relationships/hyperlink" Target="https://ref.ly/logosres/cataur64jn?ref=Bible.Jn15.17-21&amp;off=1133&amp;ctx=a+man+is+made+good.%0A~Chrysostom.+(Hom.+lx" TargetMode="External"/><Relationship Id="rId15" Type="http://schemas.openxmlformats.org/officeDocument/2006/relationships/hyperlink" Target="https://ref.ly/logosres/navarrentstandard64jn?ref=Bible.Jn15.22-25&amp;off=0&amp;ctx=ielem+homiliae,+9).%0A~15:22&#8211;25.+Our+Lord+p" TargetMode="External"/><Relationship Id="rId16" Type="http://schemas.openxmlformats.org/officeDocument/2006/relationships/hyperlink" Target="https://ref.ly/logosres/cathstudybiblent?ref=BibleRSVCE.Jn15.18-27&amp;off=0&amp;ctx=ron+20:7;+Is+41:8).%0A~15:18&#8211;27+Jesus+cauti" TargetMode="External"/><Relationship Id="rId17" Type="http://schemas.openxmlformats.org/officeDocument/2006/relationships/hyperlink" Target="https://ref.ly/logosres/stjhnsgsplry?ref=Bible.Jn15.18-27&amp;off=9491&amp;ctx=6:10;+13:2;+15:28)?%0A~&#187;+Practical+note:+&#8220;E" TargetMode="External"/><Relationship Id="rId18" Type="http://schemas.openxmlformats.org/officeDocument/2006/relationships/hyperlink" Target="https://ref.ly/logosres/rsv2ce?ref=BibleRSVCE.1Jn3.11&amp;off=17&amp;ctx=.+%0ALove+One+Another%0A~11&#160;&#182;+For+this+is+the"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Ashampoo Write 2021 rev.1033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Dave Keene</cp:lastModifiedBy>
  <cp:revision>1</cp:revision>
  <dcterms:created xsi:type="dcterms:W3CDTF">2021-11-21T21:54:53Z</dcterms:created>
  <dcterms:modified xsi:type="dcterms:W3CDTF">2021-11-21T23:52:15Z</dcterms:modified>
</cp:coreProperties>
</file>