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53" w:rsidRPr="00F254A4" w:rsidRDefault="00193053" w:rsidP="00193053">
      <w:pPr>
        <w:jc w:val="center"/>
        <w:rPr>
          <w:rFonts w:ascii="Georgia" w:hAnsi="Georgia" w:cs="Times New Roman"/>
          <w:b/>
          <w:sz w:val="52"/>
          <w:szCs w:val="52"/>
        </w:rPr>
      </w:pPr>
      <w:r w:rsidRPr="00F254A4">
        <w:rPr>
          <w:rFonts w:ascii="Georgia" w:hAnsi="Georgia" w:cs="Times New Roman"/>
          <w:b/>
          <w:sz w:val="52"/>
          <w:szCs w:val="52"/>
        </w:rPr>
        <w:t xml:space="preserve">Should a Catholic Use Iowa’s </w:t>
      </w:r>
      <w:r w:rsidRPr="00F254A4">
        <w:rPr>
          <w:rFonts w:ascii="Georgia" w:hAnsi="Georgia" w:cs="Times New Roman"/>
          <w:b/>
          <w:i/>
          <w:sz w:val="52"/>
          <w:szCs w:val="52"/>
        </w:rPr>
        <w:t>Living Will?</w:t>
      </w:r>
    </w:p>
    <w:p w:rsidR="00ED35F7" w:rsidRPr="00245047" w:rsidRDefault="00BC3158" w:rsidP="000655C2">
      <w:pPr>
        <w:jc w:val="both"/>
        <w:rPr>
          <w:rFonts w:ascii="Bookman Old Style" w:hAnsi="Bookman Old Style" w:cs="Times New Roman"/>
        </w:rPr>
      </w:pPr>
      <w:r w:rsidRPr="00245047">
        <w:rPr>
          <w:rFonts w:ascii="Bookman Old Style" w:hAnsi="Bookman Old Style" w:cs="Times New Roman"/>
        </w:rPr>
        <w:t xml:space="preserve">A living will is the first type of advance directive </w:t>
      </w:r>
      <w:r w:rsidR="005E2BAF" w:rsidRPr="00245047">
        <w:rPr>
          <w:rFonts w:ascii="Bookman Old Style" w:hAnsi="Bookman Old Style" w:cs="Times New Roman"/>
        </w:rPr>
        <w:t xml:space="preserve">document </w:t>
      </w:r>
      <w:r w:rsidRPr="00245047">
        <w:rPr>
          <w:rFonts w:ascii="Bookman Old Style" w:hAnsi="Bookman Old Style" w:cs="Times New Roman"/>
        </w:rPr>
        <w:t xml:space="preserve">that was developed.  Through a </w:t>
      </w:r>
      <w:r w:rsidRPr="00245047">
        <w:rPr>
          <w:rFonts w:ascii="Bookman Old Style" w:eastAsia="Times New Roman" w:hAnsi="Bookman Old Style" w:cs="Times New Roman"/>
          <w:color w:val="000000"/>
        </w:rPr>
        <w:t xml:space="preserve">living will an individual </w:t>
      </w:r>
      <w:r w:rsidR="00371974" w:rsidRPr="00245047">
        <w:rPr>
          <w:rFonts w:ascii="Bookman Old Style" w:eastAsia="Times New Roman" w:hAnsi="Bookman Old Style" w:cs="Times New Roman"/>
          <w:color w:val="000000"/>
        </w:rPr>
        <w:t xml:space="preserve">can </w:t>
      </w:r>
      <w:r w:rsidRPr="00245047">
        <w:rPr>
          <w:rFonts w:ascii="Bookman Old Style" w:eastAsia="Times New Roman" w:hAnsi="Bookman Old Style" w:cs="Times New Roman"/>
          <w:color w:val="000000"/>
        </w:rPr>
        <w:t xml:space="preserve">express a desire to forgo </w:t>
      </w:r>
      <w:r w:rsidR="00371974" w:rsidRPr="00245047">
        <w:rPr>
          <w:rFonts w:ascii="Bookman Old Style" w:eastAsia="Times New Roman" w:hAnsi="Bookman Old Style" w:cs="Times New Roman"/>
          <w:color w:val="000000"/>
        </w:rPr>
        <w:t>life-sustaining treatments in certain circumstances.  As formulated in the State of Iowa, is the living will a document that Catholics should use?</w:t>
      </w:r>
    </w:p>
    <w:p w:rsidR="000655C2" w:rsidRPr="00245047" w:rsidRDefault="000655C2" w:rsidP="000655C2">
      <w:pPr>
        <w:jc w:val="both"/>
        <w:rPr>
          <w:rFonts w:ascii="Bookman Old Style" w:hAnsi="Bookman Old Style" w:cs="Times New Roman"/>
        </w:rPr>
      </w:pPr>
      <w:r w:rsidRPr="00245047">
        <w:rPr>
          <w:rFonts w:ascii="Bookman Old Style" w:hAnsi="Bookman Old Style" w:cs="Times New Roman"/>
        </w:rPr>
        <w:t xml:space="preserve">The Code of Iowa Chapter 144A </w:t>
      </w:r>
      <w:r w:rsidRPr="00245047">
        <w:rPr>
          <w:rFonts w:ascii="Bookman Old Style" w:hAnsi="Bookman Old Style" w:cs="Times New Roman"/>
          <w:i/>
        </w:rPr>
        <w:t xml:space="preserve">Life-Sustaining Procedures Act </w:t>
      </w:r>
      <w:r w:rsidRPr="00245047">
        <w:rPr>
          <w:rFonts w:ascii="Bookman Old Style" w:hAnsi="Bookman Old Style" w:cs="Times New Roman"/>
        </w:rPr>
        <w:t xml:space="preserve">gives the following language for </w:t>
      </w:r>
      <w:r w:rsidR="00BC3158" w:rsidRPr="00245047">
        <w:rPr>
          <w:rFonts w:ascii="Bookman Old Style" w:hAnsi="Bookman Old Style" w:cs="Times New Roman"/>
        </w:rPr>
        <w:t>Iowa’s</w:t>
      </w:r>
      <w:r w:rsidRPr="00245047">
        <w:rPr>
          <w:rFonts w:ascii="Bookman Old Style" w:hAnsi="Bookman Old Style" w:cs="Times New Roman"/>
        </w:rPr>
        <w:t xml:space="preserve"> “living will” document, known in Iowa law as the </w:t>
      </w:r>
      <w:r w:rsidRPr="00245047">
        <w:rPr>
          <w:rFonts w:ascii="Bookman Old Style" w:hAnsi="Bookman Old Style" w:cs="Times New Roman"/>
          <w:i/>
        </w:rPr>
        <w:t>Declaration Relating to the Use of Life-Sustaining Procedures</w:t>
      </w:r>
      <w:r w:rsidRPr="00245047">
        <w:rPr>
          <w:rFonts w:ascii="Bookman Old Style" w:hAnsi="Bookman Old Style" w:cs="Times New Roman"/>
        </w:rPr>
        <w:t>:</w:t>
      </w:r>
    </w:p>
    <w:p w:rsidR="000655C2" w:rsidRPr="00245047" w:rsidRDefault="000655C2" w:rsidP="00D77364">
      <w:pPr>
        <w:ind w:left="432"/>
        <w:jc w:val="both"/>
        <w:rPr>
          <w:rFonts w:ascii="Bookman Old Style" w:hAnsi="Bookman Old Style" w:cs="Times New Roman"/>
        </w:rPr>
      </w:pPr>
      <w:r w:rsidRPr="00245047">
        <w:rPr>
          <w:rFonts w:ascii="Bookman Old Style" w:hAnsi="Bookman Old Style" w:cs="Times New Roman"/>
        </w:rPr>
        <w:t>If I should have an incurable or irreversible condition that will result either in death within a relatively sho</w:t>
      </w:r>
      <w:r w:rsidR="00E73725" w:rsidRPr="00245047">
        <w:rPr>
          <w:rFonts w:ascii="Bookman Old Style" w:hAnsi="Bookman Old Style" w:cs="Times New Roman"/>
        </w:rPr>
        <w:t xml:space="preserve">rt period of time or a state of </w:t>
      </w:r>
      <w:r w:rsidRPr="00245047">
        <w:rPr>
          <w:rFonts w:ascii="Bookman Old Style" w:hAnsi="Bookman Old Style" w:cs="Times New Roman"/>
        </w:rPr>
        <w:t xml:space="preserve">permanent unconsciousness from which, to a reasonable degree of medical certainty, there can be no recovery, it is my desire that my life not be prolonged by the administration of life-sustaining procedures.  If I am unable to participate in my health care decisions, I direct my attending physician to withhold or withdraw life-sustaining procedures that merely prolong the dying process and are not necessary to my comfort or freedom from pain. </w:t>
      </w:r>
    </w:p>
    <w:p w:rsidR="00E63281" w:rsidRPr="00245047" w:rsidRDefault="00E63281" w:rsidP="00E73725">
      <w:pPr>
        <w:jc w:val="both"/>
        <w:rPr>
          <w:rFonts w:ascii="Bookman Old Style" w:hAnsi="Bookman Old Style" w:cs="Times New Roman"/>
        </w:rPr>
      </w:pPr>
      <w:r w:rsidRPr="00245047">
        <w:rPr>
          <w:rFonts w:ascii="Bookman Old Style" w:hAnsi="Bookman Old Style" w:cs="Times New Roman"/>
        </w:rPr>
        <w:t xml:space="preserve">This language </w:t>
      </w:r>
      <w:r w:rsidR="006C31C5" w:rsidRPr="00245047">
        <w:rPr>
          <w:rFonts w:ascii="Bookman Old Style" w:hAnsi="Bookman Old Style" w:cs="Times New Roman"/>
        </w:rPr>
        <w:t>is</w:t>
      </w:r>
      <w:r w:rsidRPr="00245047">
        <w:rPr>
          <w:rFonts w:ascii="Bookman Old Style" w:hAnsi="Bookman Old Style" w:cs="Times New Roman"/>
        </w:rPr>
        <w:t xml:space="preserve"> used verbatim in the living will form provided by the Iowa Bar Association. </w:t>
      </w:r>
    </w:p>
    <w:p w:rsidR="00F254A4" w:rsidRDefault="00F254A4" w:rsidP="008A3B13">
      <w:pPr>
        <w:spacing w:before="255" w:line="275" w:lineRule="exact"/>
        <w:jc w:val="both"/>
        <w:textAlignment w:val="baseline"/>
        <w:rPr>
          <w:rFonts w:ascii="Bookman Old Style" w:eastAsia="Times New Roman" w:hAnsi="Bookman Old Style" w:cs="Times New Roman"/>
          <w:color w:val="000000"/>
        </w:rPr>
      </w:pPr>
    </w:p>
    <w:p w:rsidR="00F254A4" w:rsidRDefault="00F254A4" w:rsidP="008A3B13">
      <w:pPr>
        <w:spacing w:before="255" w:line="275" w:lineRule="exact"/>
        <w:jc w:val="both"/>
        <w:textAlignment w:val="baseline"/>
        <w:rPr>
          <w:rFonts w:ascii="Bookman Old Style" w:eastAsia="Times New Roman" w:hAnsi="Bookman Old Style" w:cs="Times New Roman"/>
          <w:color w:val="000000"/>
        </w:rPr>
      </w:pPr>
    </w:p>
    <w:p w:rsidR="00F254A4" w:rsidRDefault="00F254A4" w:rsidP="008A3B13">
      <w:pPr>
        <w:spacing w:before="255" w:line="275" w:lineRule="exact"/>
        <w:jc w:val="both"/>
        <w:textAlignment w:val="baseline"/>
        <w:rPr>
          <w:rFonts w:ascii="Bookman Old Style" w:eastAsia="Times New Roman" w:hAnsi="Bookman Old Style" w:cs="Times New Roman"/>
          <w:color w:val="000000"/>
        </w:rPr>
      </w:pPr>
    </w:p>
    <w:p w:rsidR="00F254A4" w:rsidRDefault="00F254A4" w:rsidP="008A3B13">
      <w:pPr>
        <w:spacing w:before="255" w:line="275" w:lineRule="exact"/>
        <w:jc w:val="both"/>
        <w:textAlignment w:val="baseline"/>
        <w:rPr>
          <w:rFonts w:ascii="Bookman Old Style" w:eastAsia="Times New Roman" w:hAnsi="Bookman Old Style" w:cs="Times New Roman"/>
          <w:color w:val="000000"/>
        </w:rPr>
      </w:pPr>
    </w:p>
    <w:p w:rsidR="00F254A4" w:rsidRDefault="00F254A4" w:rsidP="008A3B13">
      <w:pPr>
        <w:spacing w:before="255" w:line="275" w:lineRule="exact"/>
        <w:jc w:val="both"/>
        <w:textAlignment w:val="baseline"/>
        <w:rPr>
          <w:rFonts w:ascii="Bookman Old Style" w:eastAsia="Times New Roman" w:hAnsi="Bookman Old Style" w:cs="Times New Roman"/>
          <w:color w:val="000000"/>
        </w:rPr>
      </w:pPr>
    </w:p>
    <w:p w:rsidR="00193053" w:rsidRPr="00245047" w:rsidRDefault="00193053" w:rsidP="008A3B13">
      <w:pPr>
        <w:spacing w:before="255" w:line="275" w:lineRule="exact"/>
        <w:jc w:val="both"/>
        <w:textAlignment w:val="baseline"/>
        <w:rPr>
          <w:rFonts w:ascii="Bookman Old Style" w:eastAsia="Times New Roman" w:hAnsi="Bookman Old Style" w:cs="Times New Roman"/>
          <w:color w:val="000000"/>
        </w:rPr>
      </w:pPr>
      <w:r w:rsidRPr="00245047">
        <w:rPr>
          <w:rFonts w:ascii="Bookman Old Style" w:eastAsia="Times New Roman" w:hAnsi="Bookman Old Style" w:cs="Times New Roman"/>
          <w:color w:val="000000"/>
        </w:rPr>
        <w:t xml:space="preserve">According to Iowa law, a “life-sustaining </w:t>
      </w:r>
      <w:r w:rsidR="008A3B13" w:rsidRPr="00245047">
        <w:rPr>
          <w:rFonts w:ascii="Bookman Old Style" w:eastAsia="Times New Roman" w:hAnsi="Bookman Old Style" w:cs="Times New Roman"/>
          <w:color w:val="000000"/>
        </w:rPr>
        <w:t xml:space="preserve">  </w:t>
      </w:r>
      <w:r w:rsidRPr="00245047">
        <w:rPr>
          <w:rFonts w:ascii="Bookman Old Style" w:eastAsia="Times New Roman" w:hAnsi="Bookman Old Style" w:cs="Times New Roman"/>
          <w:color w:val="000000"/>
        </w:rPr>
        <w:t>procedure”</w:t>
      </w:r>
      <w:r w:rsidR="008A3B13" w:rsidRPr="00245047">
        <w:rPr>
          <w:rFonts w:ascii="Bookman Old Style" w:eastAsia="Times New Roman" w:hAnsi="Bookman Old Style" w:cs="Times New Roman"/>
          <w:color w:val="000000"/>
        </w:rPr>
        <w:t xml:space="preserve"> </w:t>
      </w:r>
      <w:r w:rsidRPr="00245047">
        <w:rPr>
          <w:rFonts w:ascii="Bookman Old Style" w:eastAsia="Times New Roman" w:hAnsi="Bookman Old Style" w:cs="Times New Roman"/>
          <w:color w:val="000000"/>
        </w:rPr>
        <w:t xml:space="preserve">includes nutrition and hydration when provided intravenously or by feeding tube (Chapter 144A). In other words, what </w:t>
      </w:r>
      <w:r w:rsidR="00C92753" w:rsidRPr="00245047">
        <w:rPr>
          <w:rFonts w:ascii="Bookman Old Style" w:eastAsia="Times New Roman" w:hAnsi="Bookman Old Style" w:cs="Times New Roman"/>
          <w:color w:val="000000"/>
        </w:rPr>
        <w:t xml:space="preserve">is technically called </w:t>
      </w:r>
      <w:r w:rsidRPr="00245047">
        <w:rPr>
          <w:rFonts w:ascii="Bookman Old Style" w:eastAsia="Times New Roman" w:hAnsi="Bookman Old Style" w:cs="Times New Roman"/>
          <w:color w:val="000000"/>
        </w:rPr>
        <w:t>“medically assisted nutrition and hydration” (MANH) is included in the scope of Iowa’s living will. By signing an Iowa living will, one is directing the withholding or withdrawal of MANH under the conditions described in the living will.</w:t>
      </w:r>
    </w:p>
    <w:p w:rsidR="00A417AB" w:rsidRPr="00245047" w:rsidRDefault="00C92753" w:rsidP="00605194">
      <w:pPr>
        <w:spacing w:before="287" w:line="275" w:lineRule="exact"/>
        <w:jc w:val="both"/>
        <w:textAlignment w:val="baseline"/>
        <w:rPr>
          <w:rFonts w:ascii="Bookman Old Style" w:eastAsia="Times New Roman" w:hAnsi="Bookman Old Style" w:cs="Times New Roman"/>
          <w:color w:val="000000"/>
        </w:rPr>
      </w:pPr>
      <w:r w:rsidRPr="00245047">
        <w:rPr>
          <w:rFonts w:ascii="Bookman Old Style" w:hAnsi="Bookman Old Style" w:cs="Times New Roman"/>
        </w:rPr>
        <w:t xml:space="preserve">According to Catholic teaching, the provision of nutrition and hydration, even by medical means, is considered part of the normal care due to the sick person. </w:t>
      </w:r>
      <w:r w:rsidR="00371974" w:rsidRPr="00245047">
        <w:rPr>
          <w:rFonts w:ascii="Bookman Old Style" w:hAnsi="Bookman Old Style" w:cs="Times New Roman"/>
        </w:rPr>
        <w:t xml:space="preserve">(1) </w:t>
      </w:r>
      <w:r w:rsidRPr="00245047">
        <w:rPr>
          <w:rFonts w:ascii="Bookman Old Style" w:hAnsi="Bookman Old Style" w:cs="Times New Roman"/>
        </w:rPr>
        <w:t xml:space="preserve"> Thus, i</w:t>
      </w:r>
      <w:r w:rsidR="005D4938" w:rsidRPr="00245047">
        <w:rPr>
          <w:rFonts w:ascii="Bookman Old Style" w:eastAsia="Times New Roman" w:hAnsi="Bookman Old Style" w:cs="Times New Roman"/>
          <w:color w:val="000000"/>
        </w:rPr>
        <w:t>n principle, there is a</w:t>
      </w:r>
      <w:r w:rsidRPr="00245047">
        <w:rPr>
          <w:rFonts w:ascii="Bookman Old Style" w:eastAsia="Times New Roman" w:hAnsi="Bookman Old Style" w:cs="Times New Roman"/>
          <w:color w:val="000000"/>
        </w:rPr>
        <w:t xml:space="preserve"> moral</w:t>
      </w:r>
      <w:r w:rsidR="005D4938" w:rsidRPr="00245047">
        <w:rPr>
          <w:rFonts w:ascii="Bookman Old Style" w:eastAsia="Times New Roman" w:hAnsi="Bookman Old Style" w:cs="Times New Roman"/>
          <w:color w:val="000000"/>
        </w:rPr>
        <w:t xml:space="preserve"> obligation to provide medically assisted nutrition and hydration to patients in need of it.</w:t>
      </w:r>
      <w:r w:rsidRPr="00245047">
        <w:rPr>
          <w:rFonts w:ascii="Bookman Old Style" w:eastAsia="Times New Roman" w:hAnsi="Bookman Old Style" w:cs="Times New Roman"/>
          <w:color w:val="000000"/>
        </w:rPr>
        <w:t xml:space="preserve">  </w:t>
      </w:r>
      <w:r w:rsidR="00A417AB" w:rsidRPr="00245047">
        <w:rPr>
          <w:rFonts w:ascii="Bookman Old Style" w:eastAsia="Times New Roman" w:hAnsi="Bookman Old Style" w:cs="Times New Roman"/>
          <w:color w:val="000000"/>
        </w:rPr>
        <w:t xml:space="preserve">It is morally permissible to forgo (withhold or withdraw) medically assisted nutrition and hydration only if the procedure cannot reasonably be expected to prolong the patient’s life or if it would be excessively burdensome for the patient. </w:t>
      </w:r>
      <w:r w:rsidR="00371974" w:rsidRPr="00245047">
        <w:rPr>
          <w:rFonts w:ascii="Bookman Old Style" w:eastAsia="Times New Roman" w:hAnsi="Bookman Old Style" w:cs="Times New Roman"/>
          <w:color w:val="000000"/>
        </w:rPr>
        <w:t xml:space="preserve">(2) </w:t>
      </w:r>
      <w:r w:rsidR="00A417AB" w:rsidRPr="00245047">
        <w:rPr>
          <w:rFonts w:ascii="Bookman Old Style" w:eastAsia="Times New Roman" w:hAnsi="Bookman Old Style" w:cs="Times New Roman"/>
          <w:color w:val="000000"/>
        </w:rPr>
        <w:t>This teaching of the Church has implications for use of Iowa’s living will.</w:t>
      </w:r>
    </w:p>
    <w:p w:rsidR="005D4938" w:rsidRPr="00245047" w:rsidRDefault="00047ADD" w:rsidP="00C92753">
      <w:pPr>
        <w:tabs>
          <w:tab w:val="left" w:pos="-198"/>
        </w:tabs>
        <w:jc w:val="both"/>
        <w:rPr>
          <w:rFonts w:ascii="Bookman Old Style" w:hAnsi="Bookman Old Style" w:cs="Times New Roman"/>
        </w:rPr>
      </w:pPr>
      <w:r w:rsidRPr="00245047">
        <w:rPr>
          <w:rFonts w:ascii="Bookman Old Style" w:hAnsi="Bookman Old Style" w:cs="Times New Roman"/>
        </w:rPr>
        <w:t>Iowa’s living will covers two different situations: when the patient is expected to die within a relatively short period of time, and when the patient is diagnosed as permanently unconscious.</w:t>
      </w:r>
    </w:p>
    <w:p w:rsidR="00047ADD" w:rsidRPr="00245047" w:rsidRDefault="00047ADD" w:rsidP="00047ADD">
      <w:pPr>
        <w:spacing w:before="180" w:line="276" w:lineRule="exact"/>
        <w:jc w:val="both"/>
        <w:textAlignment w:val="baseline"/>
        <w:rPr>
          <w:rFonts w:ascii="Bookman Old Style" w:eastAsia="Times New Roman" w:hAnsi="Bookman Old Style" w:cs="Times New Roman"/>
          <w:color w:val="000000"/>
          <w:spacing w:val="-3"/>
        </w:rPr>
      </w:pPr>
      <w:r w:rsidRPr="001A040B">
        <w:rPr>
          <w:rFonts w:ascii="Bookman Old Style" w:eastAsia="Times New Roman" w:hAnsi="Bookman Old Style" w:cs="Times New Roman"/>
          <w:color w:val="000000"/>
          <w:spacing w:val="-3"/>
        </w:rPr>
        <w:t xml:space="preserve">The first clause of Iowa’s living will (“If I should have an incurable or irreversible </w:t>
      </w:r>
      <w:r w:rsidRPr="001A040B">
        <w:rPr>
          <w:rFonts w:ascii="Bookman Old Style" w:eastAsia="Times New Roman" w:hAnsi="Bookman Old Style" w:cs="Times New Roman"/>
          <w:color w:val="000000"/>
          <w:spacing w:val="-3"/>
        </w:rPr>
        <w:lastRenderedPageBreak/>
        <w:t xml:space="preserve">condition that will result... in death within a relatively short period of time... it is my desire that my life not be prolonged by the administration of life-sustaining procedures”) is in accord with Church teaching on forgoing MANH. The </w:t>
      </w:r>
      <w:r w:rsidRPr="001A040B">
        <w:rPr>
          <w:rFonts w:ascii="Bookman Old Style" w:eastAsia="Times New Roman" w:hAnsi="Bookman Old Style" w:cs="Times New Roman"/>
          <w:i/>
          <w:color w:val="000000"/>
          <w:spacing w:val="-3"/>
        </w:rPr>
        <w:t xml:space="preserve">Ethical and Religious Directives for Catholic Health Care Services </w:t>
      </w:r>
      <w:r w:rsidRPr="001A040B">
        <w:rPr>
          <w:rFonts w:ascii="Bookman Old Style" w:eastAsia="Times New Roman" w:hAnsi="Bookman Old Style" w:cs="Times New Roman"/>
          <w:color w:val="000000"/>
          <w:spacing w:val="-3"/>
        </w:rPr>
        <w:t xml:space="preserve">gives the example of a patient who is near death as a case in which </w:t>
      </w:r>
      <w:r w:rsidR="00FB208D" w:rsidRPr="001A040B">
        <w:rPr>
          <w:rFonts w:ascii="Bookman Old Style" w:eastAsia="Times New Roman" w:hAnsi="Bookman Old Style" w:cs="Times New Roman"/>
          <w:color w:val="000000"/>
          <w:spacing w:val="-3"/>
        </w:rPr>
        <w:t xml:space="preserve">providing </w:t>
      </w:r>
      <w:r w:rsidRPr="001A040B">
        <w:rPr>
          <w:rFonts w:ascii="Bookman Old Style" w:eastAsia="Times New Roman" w:hAnsi="Bookman Old Style" w:cs="Times New Roman"/>
          <w:color w:val="000000"/>
          <w:spacing w:val="-3"/>
        </w:rPr>
        <w:t>MANH</w:t>
      </w:r>
      <w:r w:rsidR="00FB208D" w:rsidRPr="001A040B">
        <w:rPr>
          <w:rFonts w:ascii="Bookman Old Style" w:eastAsia="Times New Roman" w:hAnsi="Bookman Old Style" w:cs="Times New Roman"/>
          <w:color w:val="000000"/>
          <w:spacing w:val="-3"/>
        </w:rPr>
        <w:t xml:space="preserve"> is not morally obligatory: </w:t>
      </w:r>
      <w:r w:rsidRPr="001A040B">
        <w:rPr>
          <w:rFonts w:ascii="Bookman Old Style" w:eastAsia="Times New Roman" w:hAnsi="Bookman Old Style" w:cs="Times New Roman"/>
          <w:color w:val="000000"/>
          <w:spacing w:val="-3"/>
        </w:rPr>
        <w:t>“For instance, as a patient</w:t>
      </w:r>
      <w:r w:rsidRPr="00245047">
        <w:rPr>
          <w:rFonts w:ascii="Bookman Old Style" w:eastAsia="Times New Roman" w:hAnsi="Bookman Old Style" w:cs="Times New Roman"/>
          <w:color w:val="000000"/>
          <w:spacing w:val="-3"/>
        </w:rPr>
        <w:t xml:space="preserve"> draws close to inevitable death from an underlying progressive and fatal condition, certain measures to provide nutrition and hydration may become excessively burdensome and therefore not obligatory in light of their very limited ability to prolong life or provide comfort.” (</w:t>
      </w:r>
      <w:r w:rsidR="00C45D58" w:rsidRPr="00245047">
        <w:rPr>
          <w:rFonts w:ascii="Bookman Old Style" w:eastAsia="Times New Roman" w:hAnsi="Bookman Old Style" w:cs="Times New Roman"/>
          <w:color w:val="000000"/>
          <w:spacing w:val="-3"/>
        </w:rPr>
        <w:t>3</w:t>
      </w:r>
      <w:r w:rsidRPr="00245047">
        <w:rPr>
          <w:rFonts w:ascii="Bookman Old Style" w:eastAsia="Times New Roman" w:hAnsi="Bookman Old Style" w:cs="Times New Roman"/>
          <w:color w:val="000000"/>
          <w:spacing w:val="-3"/>
        </w:rPr>
        <w:t>)</w:t>
      </w:r>
    </w:p>
    <w:p w:rsidR="00FE4A80" w:rsidRPr="00245047" w:rsidRDefault="00FB208D" w:rsidP="00FE4A80">
      <w:pPr>
        <w:spacing w:before="218" w:line="276" w:lineRule="exact"/>
        <w:jc w:val="both"/>
        <w:textAlignment w:val="baseline"/>
        <w:rPr>
          <w:rFonts w:ascii="Bookman Old Style" w:eastAsia="Times New Roman" w:hAnsi="Bookman Old Style" w:cs="Times New Roman"/>
          <w:color w:val="000000"/>
          <w:spacing w:val="-2"/>
        </w:rPr>
      </w:pPr>
      <w:r w:rsidRPr="00245047">
        <w:rPr>
          <w:rFonts w:ascii="Bookman Old Style" w:eastAsia="Times New Roman" w:hAnsi="Bookman Old Style" w:cs="Times New Roman"/>
          <w:color w:val="000000"/>
        </w:rPr>
        <w:t>The second clause of the living will ("If I should have ... a state of permanent unconsciousness from which, to a reasonable degree of medical certainty, there can be no recovery, it is my desire that my life not be prolonged by the administration of life-sustaining procedures”) can be interpreted as indicating that MANH should be forgone when the permanency of a state of unconsciousness has been medically determined. This is not in accord with Church teaching.</w:t>
      </w:r>
      <w:r w:rsidR="00FE4A80" w:rsidRPr="00245047">
        <w:rPr>
          <w:rFonts w:ascii="Bookman Old Style" w:eastAsia="Times New Roman" w:hAnsi="Bookman Old Style" w:cs="Times New Roman"/>
          <w:color w:val="000000"/>
        </w:rPr>
        <w:t xml:space="preserve">  </w:t>
      </w:r>
      <w:r w:rsidR="005D4938" w:rsidRPr="00245047">
        <w:rPr>
          <w:rFonts w:ascii="Bookman Old Style" w:eastAsia="Times New Roman" w:hAnsi="Bookman Old Style" w:cs="Times New Roman"/>
          <w:color w:val="000000"/>
        </w:rPr>
        <w:t xml:space="preserve">The fact that a patient </w:t>
      </w:r>
      <w:r w:rsidR="00DF0744" w:rsidRPr="00245047">
        <w:rPr>
          <w:rFonts w:ascii="Bookman Old Style" w:eastAsia="Times New Roman" w:hAnsi="Bookman Old Style" w:cs="Times New Roman"/>
          <w:color w:val="000000"/>
        </w:rPr>
        <w:t xml:space="preserve">suffers from a chronic and presumably irreversible condition (e.g., state of permanent unconsciousness) </w:t>
      </w:r>
      <w:r w:rsidR="005D4938" w:rsidRPr="00245047">
        <w:rPr>
          <w:rFonts w:ascii="Bookman Old Style" w:eastAsia="Times New Roman" w:hAnsi="Bookman Old Style" w:cs="Times New Roman"/>
          <w:color w:val="000000"/>
        </w:rPr>
        <w:t xml:space="preserve">is not in itself </w:t>
      </w:r>
      <w:r w:rsidR="00FE4A80" w:rsidRPr="00245047">
        <w:rPr>
          <w:rFonts w:ascii="Bookman Old Style" w:eastAsia="Times New Roman" w:hAnsi="Bookman Old Style" w:cs="Times New Roman"/>
          <w:color w:val="000000"/>
        </w:rPr>
        <w:t xml:space="preserve">considered </w:t>
      </w:r>
      <w:r w:rsidR="005D4938" w:rsidRPr="00245047">
        <w:rPr>
          <w:rFonts w:ascii="Bookman Old Style" w:eastAsia="Times New Roman" w:hAnsi="Bookman Old Style" w:cs="Times New Roman"/>
          <w:color w:val="000000"/>
        </w:rPr>
        <w:t xml:space="preserve">sufficient reason to forgo medically assisted nutrition and hydration for that patient. </w:t>
      </w:r>
      <w:r w:rsidR="00FE4A80" w:rsidRPr="00245047">
        <w:rPr>
          <w:rFonts w:ascii="Bookman Old Style" w:eastAsia="Times New Roman" w:hAnsi="Bookman Old Style" w:cs="Times New Roman"/>
          <w:i/>
          <w:color w:val="000000"/>
          <w:spacing w:val="-2"/>
        </w:rPr>
        <w:t xml:space="preserve">According to Church teaching, certain conditions must be satisfied before the withdrawal of MANH </w:t>
      </w:r>
      <w:r w:rsidR="00EB3070" w:rsidRPr="00245047">
        <w:rPr>
          <w:rFonts w:ascii="Bookman Old Style" w:eastAsia="Times New Roman" w:hAnsi="Bookman Old Style" w:cs="Times New Roman"/>
          <w:i/>
          <w:color w:val="000000"/>
          <w:spacing w:val="-2"/>
        </w:rPr>
        <w:t>is</w:t>
      </w:r>
      <w:r w:rsidR="00FE4A80" w:rsidRPr="00245047">
        <w:rPr>
          <w:rFonts w:ascii="Bookman Old Style" w:eastAsia="Times New Roman" w:hAnsi="Bookman Old Style" w:cs="Times New Roman"/>
          <w:i/>
          <w:color w:val="000000"/>
          <w:spacing w:val="-2"/>
        </w:rPr>
        <w:t xml:space="preserve"> morally permissible </w:t>
      </w:r>
      <w:r w:rsidR="007515CB" w:rsidRPr="00245047">
        <w:rPr>
          <w:rFonts w:ascii="Bookman Old Style" w:eastAsia="Times New Roman" w:hAnsi="Bookman Old Style" w:cs="Times New Roman"/>
          <w:i/>
          <w:color w:val="000000"/>
          <w:spacing w:val="-2"/>
        </w:rPr>
        <w:t>for such patients.</w:t>
      </w:r>
      <w:r w:rsidR="00EB3070" w:rsidRPr="00245047">
        <w:rPr>
          <w:rFonts w:ascii="Bookman Old Style" w:eastAsia="Times New Roman" w:hAnsi="Bookman Old Style" w:cs="Times New Roman"/>
          <w:i/>
          <w:color w:val="000000"/>
          <w:spacing w:val="-2"/>
        </w:rPr>
        <w:t xml:space="preserve">  Specifically, it is morally permissible to </w:t>
      </w:r>
      <w:r w:rsidR="006C79EF" w:rsidRPr="00245047">
        <w:rPr>
          <w:rFonts w:ascii="Bookman Old Style" w:eastAsia="Times New Roman" w:hAnsi="Bookman Old Style" w:cs="Times New Roman"/>
          <w:i/>
          <w:color w:val="000000"/>
          <w:spacing w:val="-2"/>
        </w:rPr>
        <w:t>forgo MANH for</w:t>
      </w:r>
      <w:r w:rsidR="00EB3070" w:rsidRPr="00245047">
        <w:rPr>
          <w:rFonts w:ascii="Bookman Old Style" w:eastAsia="Times New Roman" w:hAnsi="Bookman Old Style" w:cs="Times New Roman"/>
          <w:i/>
          <w:color w:val="000000"/>
          <w:spacing w:val="-2"/>
        </w:rPr>
        <w:t xml:space="preserve"> a patient diagnosed as permanently unconscious only if </w:t>
      </w:r>
      <w:r w:rsidR="006C79EF" w:rsidRPr="00245047">
        <w:rPr>
          <w:rFonts w:ascii="Bookman Old Style" w:eastAsia="Times New Roman" w:hAnsi="Bookman Old Style" w:cs="Times New Roman"/>
          <w:i/>
          <w:color w:val="000000"/>
          <w:spacing w:val="-2"/>
        </w:rPr>
        <w:t xml:space="preserve">it will not work to prolong the patient’s life or if it would be excessively </w:t>
      </w:r>
      <w:bookmarkStart w:id="0" w:name="_GoBack"/>
      <w:bookmarkEnd w:id="0"/>
      <w:r w:rsidR="006C79EF" w:rsidRPr="00245047">
        <w:rPr>
          <w:rFonts w:ascii="Bookman Old Style" w:eastAsia="Times New Roman" w:hAnsi="Bookman Old Style" w:cs="Times New Roman"/>
          <w:i/>
          <w:color w:val="000000"/>
          <w:spacing w:val="-2"/>
        </w:rPr>
        <w:t>burdensome for the patient (e.g., cause aspiration pneumonia).</w:t>
      </w:r>
      <w:r w:rsidR="00C45D58" w:rsidRPr="00245047">
        <w:rPr>
          <w:rFonts w:ascii="Bookman Old Style" w:eastAsia="Times New Roman" w:hAnsi="Bookman Old Style" w:cs="Times New Roman"/>
          <w:color w:val="000000"/>
          <w:spacing w:val="-2"/>
        </w:rPr>
        <w:t xml:space="preserve"> (4)</w:t>
      </w:r>
      <w:r w:rsidR="006C79EF" w:rsidRPr="00245047">
        <w:rPr>
          <w:rFonts w:ascii="Bookman Old Style" w:eastAsia="Times New Roman" w:hAnsi="Bookman Old Style" w:cs="Times New Roman"/>
          <w:i/>
          <w:color w:val="000000"/>
          <w:spacing w:val="-2"/>
        </w:rPr>
        <w:t xml:space="preserve">  </w:t>
      </w:r>
      <w:r w:rsidR="006C79EF" w:rsidRPr="00245047">
        <w:rPr>
          <w:rFonts w:ascii="Bookman Old Style" w:eastAsia="Times New Roman" w:hAnsi="Bookman Old Style" w:cs="Times New Roman"/>
          <w:color w:val="000000"/>
          <w:spacing w:val="-2"/>
        </w:rPr>
        <w:t xml:space="preserve">These </w:t>
      </w:r>
      <w:r w:rsidR="000B33AE" w:rsidRPr="00245047">
        <w:rPr>
          <w:rFonts w:ascii="Bookman Old Style" w:eastAsia="Times New Roman" w:hAnsi="Bookman Old Style" w:cs="Times New Roman"/>
          <w:color w:val="000000"/>
          <w:spacing w:val="-2"/>
        </w:rPr>
        <w:t>requirements</w:t>
      </w:r>
      <w:r w:rsidR="006C79EF" w:rsidRPr="00245047">
        <w:rPr>
          <w:rFonts w:ascii="Bookman Old Style" w:eastAsia="Times New Roman" w:hAnsi="Bookman Old Style" w:cs="Times New Roman"/>
          <w:color w:val="000000"/>
          <w:spacing w:val="-2"/>
        </w:rPr>
        <w:t xml:space="preserve"> are not included in Iowa’s living will.</w:t>
      </w:r>
    </w:p>
    <w:p w:rsidR="00AA1FF1" w:rsidRPr="00245047" w:rsidRDefault="007515CB" w:rsidP="00B54E2F">
      <w:pPr>
        <w:spacing w:before="218" w:line="276" w:lineRule="exact"/>
        <w:jc w:val="both"/>
        <w:textAlignment w:val="baseline"/>
        <w:rPr>
          <w:rFonts w:ascii="Bookman Old Style" w:eastAsia="Times New Roman" w:hAnsi="Bookman Old Style" w:cs="Times New Roman"/>
          <w:color w:val="000000"/>
          <w:spacing w:val="-3"/>
        </w:rPr>
      </w:pPr>
      <w:r w:rsidRPr="00245047">
        <w:rPr>
          <w:rFonts w:ascii="Bookman Old Style" w:eastAsia="Times New Roman" w:hAnsi="Bookman Old Style" w:cs="Times New Roman"/>
          <w:b/>
          <w:color w:val="000000"/>
        </w:rPr>
        <w:t>Because Iowa’s living will is not in accord with Church teaching in this re</w:t>
      </w:r>
      <w:r w:rsidR="00490DD7" w:rsidRPr="00245047">
        <w:rPr>
          <w:rFonts w:ascii="Bookman Old Style" w:eastAsia="Times New Roman" w:hAnsi="Bookman Old Style" w:cs="Times New Roman"/>
          <w:b/>
          <w:color w:val="000000"/>
        </w:rPr>
        <w:t>spect</w:t>
      </w:r>
      <w:r w:rsidRPr="00245047">
        <w:rPr>
          <w:rFonts w:ascii="Bookman Old Style" w:eastAsia="Times New Roman" w:hAnsi="Bookman Old Style" w:cs="Times New Roman"/>
          <w:b/>
          <w:color w:val="000000"/>
        </w:rPr>
        <w:t>, Catholics should not use it as an advance directive</w:t>
      </w:r>
      <w:r w:rsidR="005A39C3" w:rsidRPr="00245047">
        <w:rPr>
          <w:rFonts w:ascii="Bookman Old Style" w:eastAsia="Times New Roman" w:hAnsi="Bookman Old Style" w:cs="Times New Roman"/>
          <w:b/>
          <w:color w:val="000000"/>
        </w:rPr>
        <w:t xml:space="preserve"> document</w:t>
      </w:r>
      <w:r w:rsidRPr="00245047">
        <w:rPr>
          <w:rFonts w:ascii="Bookman Old Style" w:eastAsia="Times New Roman" w:hAnsi="Bookman Old Style" w:cs="Times New Roman"/>
          <w:b/>
          <w:color w:val="000000"/>
        </w:rPr>
        <w:t>.</w:t>
      </w:r>
      <w:r w:rsidR="005A39C3" w:rsidRPr="00245047">
        <w:rPr>
          <w:rFonts w:ascii="Bookman Old Style" w:eastAsia="Times New Roman" w:hAnsi="Bookman Old Style" w:cs="Times New Roman"/>
          <w:b/>
          <w:color w:val="000000"/>
        </w:rPr>
        <w:t xml:space="preserve"> </w:t>
      </w:r>
      <w:r w:rsidR="005A39C3" w:rsidRPr="00245047">
        <w:rPr>
          <w:rFonts w:ascii="Bookman Old Style" w:eastAsia="Times New Roman" w:hAnsi="Bookman Old Style" w:cs="Times New Roman"/>
          <w:color w:val="000000"/>
        </w:rPr>
        <w:t xml:space="preserve">Rather, the Durable Power of Attorney for Health Care form should be used.  </w:t>
      </w:r>
      <w:r w:rsidRPr="00245047">
        <w:rPr>
          <w:rFonts w:ascii="Bookman Old Style" w:eastAsia="Times New Roman" w:hAnsi="Bookman Old Style" w:cs="Times New Roman"/>
          <w:b/>
          <w:color w:val="000000"/>
        </w:rPr>
        <w:t xml:space="preserve"> </w:t>
      </w:r>
      <w:r w:rsidR="00BC31B2" w:rsidRPr="00245047">
        <w:rPr>
          <w:rFonts w:ascii="Bookman Old Style" w:eastAsia="Times New Roman" w:hAnsi="Bookman Old Style" w:cs="Times New Roman"/>
          <w:color w:val="000000"/>
        </w:rPr>
        <w:t xml:space="preserve"> </w:t>
      </w:r>
      <w:r w:rsidR="00724D24" w:rsidRPr="00245047">
        <w:rPr>
          <w:rFonts w:ascii="Bookman Old Style" w:hAnsi="Bookman Old Style" w:cs="Times New Roman"/>
        </w:rPr>
        <w:t xml:space="preserve">The stipulation of the living will that is morally legitimate (viz., </w:t>
      </w:r>
      <w:r w:rsidR="00724D24" w:rsidRPr="00245047">
        <w:rPr>
          <w:rFonts w:ascii="Bookman Old Style" w:eastAsia="Times New Roman" w:hAnsi="Bookman Old Style" w:cs="Times New Roman"/>
          <w:color w:val="000000"/>
          <w:spacing w:val="-3"/>
        </w:rPr>
        <w:t xml:space="preserve">“If I should have an incurable or irreversible condition that will result... in death within a relatively short period of time... it is my desire that my life not be prolonged by the administration of life-sustaining procedures”) can be included in the specific directives </w:t>
      </w:r>
      <w:r w:rsidR="00B54E2F" w:rsidRPr="00245047">
        <w:rPr>
          <w:rFonts w:ascii="Bookman Old Style" w:eastAsia="Times New Roman" w:hAnsi="Bookman Old Style" w:cs="Times New Roman"/>
          <w:color w:val="000000"/>
          <w:spacing w:val="-3"/>
        </w:rPr>
        <w:t xml:space="preserve">section of the </w:t>
      </w:r>
      <w:r w:rsidR="00724D24" w:rsidRPr="00245047">
        <w:rPr>
          <w:rFonts w:ascii="Bookman Old Style" w:eastAsia="Times New Roman" w:hAnsi="Bookman Old Style" w:cs="Times New Roman"/>
          <w:color w:val="000000"/>
          <w:spacing w:val="-3"/>
        </w:rPr>
        <w:t xml:space="preserve">Durable Power of Attorney for Health Care </w:t>
      </w:r>
      <w:r w:rsidR="00B54E2F" w:rsidRPr="00245047">
        <w:rPr>
          <w:rFonts w:ascii="Bookman Old Style" w:eastAsia="Times New Roman" w:hAnsi="Bookman Old Style" w:cs="Times New Roman"/>
          <w:color w:val="000000"/>
          <w:spacing w:val="-3"/>
        </w:rPr>
        <w:t>form</w:t>
      </w:r>
      <w:r w:rsidR="00724D24" w:rsidRPr="00245047">
        <w:rPr>
          <w:rFonts w:ascii="Bookman Old Style" w:eastAsia="Times New Roman" w:hAnsi="Bookman Old Style" w:cs="Times New Roman"/>
          <w:color w:val="000000"/>
          <w:spacing w:val="-3"/>
        </w:rPr>
        <w:t xml:space="preserve"> and thus not be lost. </w:t>
      </w:r>
    </w:p>
    <w:p w:rsidR="001A040B" w:rsidRDefault="001A040B" w:rsidP="004B6580">
      <w:pPr>
        <w:spacing w:before="255" w:after="0" w:line="275" w:lineRule="exact"/>
        <w:ind w:right="72"/>
        <w:jc w:val="both"/>
        <w:textAlignment w:val="baseline"/>
        <w:rPr>
          <w:rFonts w:ascii="Bookman Old Style" w:eastAsia="Times New Roman" w:hAnsi="Bookman Old Style" w:cs="Times New Roman"/>
          <w:b/>
          <w:color w:val="000000"/>
          <w:sz w:val="24"/>
        </w:rPr>
      </w:pPr>
    </w:p>
    <w:p w:rsidR="00AA1FF1" w:rsidRPr="00F254A4" w:rsidRDefault="00C45D58" w:rsidP="004B6580">
      <w:pPr>
        <w:spacing w:before="255" w:after="0" w:line="275" w:lineRule="exact"/>
        <w:ind w:right="72"/>
        <w:jc w:val="both"/>
        <w:textAlignment w:val="baseline"/>
        <w:rPr>
          <w:rFonts w:ascii="Bookman Old Style" w:eastAsia="Times New Roman" w:hAnsi="Bookman Old Style" w:cs="Times New Roman"/>
          <w:b/>
          <w:color w:val="000000"/>
          <w:sz w:val="20"/>
          <w:szCs w:val="20"/>
        </w:rPr>
      </w:pPr>
      <w:r w:rsidRPr="00F254A4">
        <w:rPr>
          <w:rFonts w:ascii="Bookman Old Style" w:eastAsia="Times New Roman" w:hAnsi="Bookman Old Style" w:cs="Times New Roman"/>
          <w:b/>
          <w:color w:val="000000"/>
          <w:sz w:val="20"/>
          <w:szCs w:val="20"/>
        </w:rPr>
        <w:t>Notes</w:t>
      </w:r>
    </w:p>
    <w:p w:rsidR="00C45D58" w:rsidRPr="00F254A4" w:rsidRDefault="00E73725" w:rsidP="00E73725">
      <w:pPr>
        <w:spacing w:line="275" w:lineRule="exact"/>
        <w:ind w:right="72"/>
        <w:textAlignment w:val="baseline"/>
        <w:rPr>
          <w:rFonts w:ascii="Bookman Old Style" w:eastAsia="Times New Roman" w:hAnsi="Bookman Old Style" w:cs="Times New Roman"/>
          <w:color w:val="000000"/>
          <w:sz w:val="20"/>
          <w:szCs w:val="20"/>
        </w:rPr>
      </w:pPr>
      <w:r w:rsidRPr="00F254A4">
        <w:rPr>
          <w:rFonts w:ascii="Bookman Old Style" w:eastAsia="Times New Roman" w:hAnsi="Bookman Old Style" w:cs="Times New Roman"/>
          <w:color w:val="000000"/>
          <w:sz w:val="20"/>
          <w:szCs w:val="20"/>
        </w:rPr>
        <w:t xml:space="preserve">1. </w:t>
      </w:r>
      <w:r w:rsidR="00A63117" w:rsidRPr="00F254A4">
        <w:rPr>
          <w:rFonts w:ascii="Bookman Old Style" w:eastAsia="Times New Roman" w:hAnsi="Bookman Old Style" w:cs="Times New Roman"/>
          <w:color w:val="000000"/>
          <w:sz w:val="20"/>
          <w:szCs w:val="20"/>
        </w:rPr>
        <w:t xml:space="preserve">John Paul II, Life-Sustaining Treatments and Vegetative State (March 20, 2004).  </w:t>
      </w:r>
      <w:r w:rsidRPr="00F254A4">
        <w:rPr>
          <w:rFonts w:ascii="Bookman Old Style" w:eastAsia="Times New Roman" w:hAnsi="Bookman Old Style" w:cs="Times New Roman"/>
          <w:color w:val="000000"/>
          <w:sz w:val="20"/>
          <w:szCs w:val="20"/>
        </w:rPr>
        <w:t xml:space="preserve">http://w2.vatican.va/content/john-paul-ii/en/speeches/2004/march/ </w:t>
      </w:r>
      <w:r w:rsidR="00A63117" w:rsidRPr="00F254A4">
        <w:rPr>
          <w:rFonts w:ascii="Bookman Old Style" w:eastAsia="Times New Roman" w:hAnsi="Bookman Old Style" w:cs="Times New Roman"/>
          <w:color w:val="000000"/>
          <w:sz w:val="20"/>
          <w:szCs w:val="20"/>
        </w:rPr>
        <w:t>documents/ hf_jp-ii_spe_2004032o_</w:t>
      </w:r>
      <w:r w:rsidRPr="00F254A4">
        <w:rPr>
          <w:rFonts w:ascii="Bookman Old Style" w:eastAsia="Times New Roman" w:hAnsi="Bookman Old Style" w:cs="Times New Roman"/>
          <w:color w:val="000000"/>
          <w:sz w:val="20"/>
          <w:szCs w:val="20"/>
        </w:rPr>
        <w:t xml:space="preserve"> </w:t>
      </w:r>
      <w:r w:rsidR="00A63117" w:rsidRPr="00F254A4">
        <w:rPr>
          <w:rFonts w:ascii="Bookman Old Style" w:eastAsia="Times New Roman" w:hAnsi="Bookman Old Style" w:cs="Times New Roman"/>
          <w:color w:val="000000"/>
          <w:sz w:val="20"/>
          <w:szCs w:val="20"/>
        </w:rPr>
        <w:t>congress_fiamc.html   Accessed July 2016.</w:t>
      </w:r>
    </w:p>
    <w:p w:rsidR="00AA1FF1" w:rsidRPr="00F254A4" w:rsidRDefault="00C45D58" w:rsidP="00E73725">
      <w:pPr>
        <w:rPr>
          <w:rFonts w:ascii="Bookman Old Style" w:hAnsi="Bookman Old Style"/>
          <w:sz w:val="20"/>
          <w:szCs w:val="20"/>
        </w:rPr>
      </w:pPr>
      <w:r w:rsidRPr="00F254A4">
        <w:rPr>
          <w:rFonts w:ascii="Bookman Old Style" w:hAnsi="Bookman Old Style"/>
          <w:sz w:val="20"/>
          <w:szCs w:val="20"/>
        </w:rPr>
        <w:t xml:space="preserve">2. </w:t>
      </w:r>
      <w:r w:rsidR="00AA1FF1" w:rsidRPr="00F254A4">
        <w:rPr>
          <w:rFonts w:ascii="Bookman Old Style" w:hAnsi="Bookman Old Style"/>
          <w:sz w:val="20"/>
          <w:szCs w:val="20"/>
        </w:rPr>
        <w:t xml:space="preserve">United States Conference of Catholic Bishops. </w:t>
      </w:r>
      <w:r w:rsidR="00AA1FF1" w:rsidRPr="00F254A4">
        <w:rPr>
          <w:rFonts w:ascii="Bookman Old Style" w:hAnsi="Bookman Old Style"/>
          <w:i/>
          <w:sz w:val="20"/>
          <w:szCs w:val="20"/>
        </w:rPr>
        <w:t xml:space="preserve">Ethical and Religious Directives for Catholic Health Care Services, </w:t>
      </w:r>
      <w:r w:rsidR="00AA1FF1" w:rsidRPr="00F254A4">
        <w:rPr>
          <w:rFonts w:ascii="Bookman Old Style" w:hAnsi="Bookman Old Style"/>
          <w:sz w:val="20"/>
          <w:szCs w:val="20"/>
        </w:rPr>
        <w:t>5</w:t>
      </w:r>
      <w:r w:rsidR="00AA1FF1" w:rsidRPr="00F254A4">
        <w:rPr>
          <w:rFonts w:ascii="Bookman Old Style" w:hAnsi="Bookman Old Style"/>
          <w:sz w:val="20"/>
          <w:szCs w:val="20"/>
          <w:vertAlign w:val="superscript"/>
        </w:rPr>
        <w:t>th</w:t>
      </w:r>
      <w:r w:rsidR="00AA1FF1" w:rsidRPr="00F254A4">
        <w:rPr>
          <w:rFonts w:ascii="Bookman Old Style" w:hAnsi="Bookman Old Style"/>
          <w:sz w:val="20"/>
          <w:szCs w:val="20"/>
        </w:rPr>
        <w:t xml:space="preserve"> ed.</w:t>
      </w:r>
      <w:r w:rsidRPr="00F254A4">
        <w:rPr>
          <w:rFonts w:ascii="Bookman Old Style" w:hAnsi="Bookman Old Style"/>
          <w:sz w:val="20"/>
          <w:szCs w:val="20"/>
        </w:rPr>
        <w:t>, no. 58</w:t>
      </w:r>
      <w:r w:rsidR="00AA1FF1" w:rsidRPr="00F254A4">
        <w:rPr>
          <w:rFonts w:ascii="Bookman Old Style" w:hAnsi="Bookman Old Style"/>
          <w:sz w:val="20"/>
          <w:szCs w:val="20"/>
        </w:rPr>
        <w:t xml:space="preserve"> (2009)</w:t>
      </w:r>
      <w:r w:rsidRPr="00F254A4">
        <w:rPr>
          <w:rFonts w:ascii="Bookman Old Style" w:hAnsi="Bookman Old Style"/>
          <w:sz w:val="20"/>
          <w:szCs w:val="20"/>
        </w:rPr>
        <w:t xml:space="preserve">. </w:t>
      </w:r>
      <w:r w:rsidR="00A63117" w:rsidRPr="00F254A4">
        <w:rPr>
          <w:rFonts w:ascii="Bookman Old Style" w:hAnsi="Bookman Old Style"/>
          <w:sz w:val="20"/>
          <w:szCs w:val="20"/>
        </w:rPr>
        <w:t>http://www.usccb.org Accessed July 2016.</w:t>
      </w:r>
    </w:p>
    <w:p w:rsidR="00C45D58" w:rsidRPr="00F254A4" w:rsidRDefault="00C45D58" w:rsidP="00C45D58">
      <w:pPr>
        <w:jc w:val="both"/>
        <w:rPr>
          <w:rFonts w:ascii="Bookman Old Style" w:hAnsi="Bookman Old Style"/>
          <w:sz w:val="20"/>
          <w:szCs w:val="20"/>
        </w:rPr>
      </w:pPr>
      <w:r w:rsidRPr="00F254A4">
        <w:rPr>
          <w:rFonts w:ascii="Bookman Old Style" w:hAnsi="Bookman Old Style"/>
          <w:sz w:val="20"/>
          <w:szCs w:val="20"/>
        </w:rPr>
        <w:t xml:space="preserve">3. </w:t>
      </w:r>
      <w:r w:rsidRPr="00F254A4">
        <w:rPr>
          <w:rFonts w:ascii="Bookman Old Style" w:hAnsi="Bookman Old Style"/>
          <w:i/>
          <w:sz w:val="20"/>
          <w:szCs w:val="20"/>
        </w:rPr>
        <w:t>Ibid.</w:t>
      </w:r>
    </w:p>
    <w:p w:rsidR="00C45D58" w:rsidRPr="00F254A4" w:rsidRDefault="00C45D58" w:rsidP="00C45D58">
      <w:pPr>
        <w:jc w:val="both"/>
        <w:rPr>
          <w:rFonts w:ascii="Bookman Old Style" w:eastAsia="Times New Roman" w:hAnsi="Bookman Old Style" w:cs="Times New Roman"/>
          <w:color w:val="000000"/>
          <w:sz w:val="20"/>
          <w:szCs w:val="20"/>
        </w:rPr>
      </w:pPr>
      <w:r w:rsidRPr="00F254A4">
        <w:rPr>
          <w:rFonts w:ascii="Bookman Old Style" w:hAnsi="Bookman Old Style"/>
          <w:sz w:val="20"/>
          <w:szCs w:val="20"/>
        </w:rPr>
        <w:t xml:space="preserve">4. </w:t>
      </w:r>
      <w:r w:rsidRPr="00F254A4">
        <w:rPr>
          <w:rFonts w:ascii="Bookman Old Style" w:hAnsi="Bookman Old Style"/>
          <w:i/>
          <w:sz w:val="20"/>
          <w:szCs w:val="20"/>
        </w:rPr>
        <w:t xml:space="preserve">Ibid. </w:t>
      </w:r>
      <w:r w:rsidR="004B6580" w:rsidRPr="00F254A4">
        <w:rPr>
          <w:rFonts w:ascii="Bookman Old Style" w:hAnsi="Bookman Old Style"/>
          <w:i/>
          <w:sz w:val="20"/>
          <w:szCs w:val="20"/>
        </w:rPr>
        <w:t xml:space="preserve">       </w:t>
      </w:r>
    </w:p>
    <w:p w:rsidR="00F254A4" w:rsidRDefault="00F254A4" w:rsidP="00587062">
      <w:pPr>
        <w:jc w:val="both"/>
        <w:rPr>
          <w:rFonts w:ascii="Georgia" w:hAnsi="Georgia"/>
        </w:rPr>
      </w:pPr>
    </w:p>
    <w:p w:rsidR="004D4AAD" w:rsidRDefault="001A040B" w:rsidP="004D4AAD">
      <w:pPr>
        <w:spacing w:after="0"/>
        <w:rPr>
          <w:rFonts w:ascii="Georgia" w:hAnsi="Georgia"/>
        </w:rPr>
      </w:pPr>
      <w:r>
        <w:rPr>
          <w:rFonts w:ascii="Georgia" w:hAnsi="Georgia"/>
        </w:rPr>
        <w:t>M</w:t>
      </w:r>
      <w:r w:rsidR="00587062" w:rsidRPr="008A3B13">
        <w:rPr>
          <w:rFonts w:ascii="Georgia" w:hAnsi="Georgia"/>
        </w:rPr>
        <w:t>edical-Moral</w:t>
      </w:r>
      <w:r w:rsidR="004D4AAD">
        <w:rPr>
          <w:rFonts w:ascii="Georgia" w:hAnsi="Georgia"/>
        </w:rPr>
        <w:t xml:space="preserve"> </w:t>
      </w:r>
      <w:r w:rsidR="00587062" w:rsidRPr="008A3B13">
        <w:rPr>
          <w:rFonts w:ascii="Georgia" w:hAnsi="Georgia"/>
        </w:rPr>
        <w:t xml:space="preserve">Commission </w:t>
      </w:r>
    </w:p>
    <w:p w:rsidR="00587062" w:rsidRPr="008A3B13" w:rsidRDefault="00587062" w:rsidP="004D4AAD">
      <w:pPr>
        <w:rPr>
          <w:rFonts w:ascii="Georgia" w:hAnsi="Georgia"/>
        </w:rPr>
      </w:pPr>
      <w:r w:rsidRPr="008A3B13">
        <w:rPr>
          <w:rFonts w:ascii="Georgia" w:hAnsi="Georgia"/>
        </w:rPr>
        <w:t>Archdiocese of Dubuque     July 2016.</w:t>
      </w:r>
    </w:p>
    <w:p w:rsidR="00742873" w:rsidRPr="008A3B13" w:rsidRDefault="00587062" w:rsidP="00271359">
      <w:pPr>
        <w:jc w:val="both"/>
        <w:rPr>
          <w:rFonts w:ascii="Georgia" w:hAnsi="Georgia" w:cs="Times New Roman"/>
        </w:rPr>
      </w:pPr>
      <w:r w:rsidRPr="008A3B13">
        <w:rPr>
          <w:rFonts w:ascii="Georgia" w:hAnsi="Georgia"/>
          <w:i/>
        </w:rPr>
        <w:t xml:space="preserve">This </w:t>
      </w:r>
      <w:r w:rsidR="00ED35F7" w:rsidRPr="008A3B13">
        <w:rPr>
          <w:rFonts w:ascii="Georgia" w:hAnsi="Georgia"/>
          <w:i/>
        </w:rPr>
        <w:t xml:space="preserve">document </w:t>
      </w:r>
      <w:r w:rsidRPr="008A3B13">
        <w:rPr>
          <w:rFonts w:ascii="Georgia" w:hAnsi="Georgia"/>
          <w:i/>
        </w:rPr>
        <w:t xml:space="preserve">may be reproduced.  </w:t>
      </w:r>
      <w:r w:rsidR="00AA1FF1" w:rsidRPr="008A3B13">
        <w:rPr>
          <w:rFonts w:ascii="Georgia" w:hAnsi="Georgia"/>
          <w:i/>
        </w:rPr>
        <w:t xml:space="preserve">       </w:t>
      </w:r>
    </w:p>
    <w:sectPr w:rsidR="00742873" w:rsidRPr="008A3B13" w:rsidSect="00E737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E2" w:rsidRDefault="00BE3FE2" w:rsidP="00504C1B">
      <w:pPr>
        <w:spacing w:after="0" w:line="240" w:lineRule="auto"/>
      </w:pPr>
      <w:r>
        <w:separator/>
      </w:r>
    </w:p>
  </w:endnote>
  <w:endnote w:type="continuationSeparator" w:id="0">
    <w:p w:rsidR="00BE3FE2" w:rsidRDefault="00BE3FE2" w:rsidP="0050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1B" w:rsidRDefault="00504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84135"/>
      <w:docPartObj>
        <w:docPartGallery w:val="Page Numbers (Bottom of Page)"/>
        <w:docPartUnique/>
      </w:docPartObj>
    </w:sdtPr>
    <w:sdtEndPr>
      <w:rPr>
        <w:noProof/>
      </w:rPr>
    </w:sdtEndPr>
    <w:sdtContent>
      <w:p w:rsidR="00504C1B" w:rsidRDefault="00504C1B">
        <w:pPr>
          <w:pStyle w:val="Footer"/>
          <w:jc w:val="right"/>
        </w:pPr>
        <w:r>
          <w:fldChar w:fldCharType="begin"/>
        </w:r>
        <w:r>
          <w:instrText xml:space="preserve"> PAGE   \* MERGEFORMAT </w:instrText>
        </w:r>
        <w:r>
          <w:fldChar w:fldCharType="separate"/>
        </w:r>
        <w:r w:rsidR="00283EFC">
          <w:rPr>
            <w:noProof/>
          </w:rPr>
          <w:t>2</w:t>
        </w:r>
        <w:r>
          <w:rPr>
            <w:noProof/>
          </w:rPr>
          <w:fldChar w:fldCharType="end"/>
        </w:r>
      </w:p>
    </w:sdtContent>
  </w:sdt>
  <w:p w:rsidR="00504C1B" w:rsidRDefault="00504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1B" w:rsidRDefault="00504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E2" w:rsidRDefault="00BE3FE2" w:rsidP="00504C1B">
      <w:pPr>
        <w:spacing w:after="0" w:line="240" w:lineRule="auto"/>
      </w:pPr>
      <w:r>
        <w:separator/>
      </w:r>
    </w:p>
  </w:footnote>
  <w:footnote w:type="continuationSeparator" w:id="0">
    <w:p w:rsidR="00BE3FE2" w:rsidRDefault="00BE3FE2" w:rsidP="0050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1B" w:rsidRDefault="00504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1B" w:rsidRDefault="00504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1B" w:rsidRDefault="00504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15A6"/>
    <w:multiLevelType w:val="hybridMultilevel"/>
    <w:tmpl w:val="57A833EE"/>
    <w:lvl w:ilvl="0" w:tplc="8332747E">
      <w:start w:val="1"/>
      <w:numFmt w:val="decimal"/>
      <w:lvlText w:val="%1."/>
      <w:lvlJc w:val="left"/>
      <w:pPr>
        <w:ind w:left="580" w:hanging="326"/>
        <w:jc w:val="right"/>
      </w:pPr>
      <w:rPr>
        <w:rFonts w:ascii="Arial" w:eastAsia="Arial" w:hAnsi="Arial" w:hint="default"/>
        <w:color w:val="231F20"/>
        <w:spacing w:val="-29"/>
        <w:w w:val="104"/>
        <w:sz w:val="20"/>
        <w:szCs w:val="20"/>
      </w:rPr>
    </w:lvl>
    <w:lvl w:ilvl="1" w:tplc="99141264">
      <w:start w:val="1"/>
      <w:numFmt w:val="upperLetter"/>
      <w:lvlText w:val="%2."/>
      <w:lvlJc w:val="left"/>
      <w:pPr>
        <w:ind w:left="579" w:hanging="304"/>
      </w:pPr>
      <w:rPr>
        <w:rFonts w:ascii="Bookman Old Style" w:eastAsia="Bookman Old Style" w:hAnsi="Bookman Old Style" w:hint="default"/>
        <w:color w:val="231F20"/>
        <w:w w:val="92"/>
        <w:sz w:val="22"/>
        <w:szCs w:val="22"/>
      </w:rPr>
    </w:lvl>
    <w:lvl w:ilvl="2" w:tplc="08A60D8E">
      <w:start w:val="1"/>
      <w:numFmt w:val="bullet"/>
      <w:lvlText w:val="•"/>
      <w:lvlJc w:val="left"/>
      <w:pPr>
        <w:ind w:left="2020" w:hanging="304"/>
      </w:pPr>
      <w:rPr>
        <w:rFonts w:hint="default"/>
      </w:rPr>
    </w:lvl>
    <w:lvl w:ilvl="3" w:tplc="508673D8">
      <w:start w:val="1"/>
      <w:numFmt w:val="bullet"/>
      <w:lvlText w:val="•"/>
      <w:lvlJc w:val="left"/>
      <w:pPr>
        <w:ind w:left="2740" w:hanging="304"/>
      </w:pPr>
      <w:rPr>
        <w:rFonts w:hint="default"/>
      </w:rPr>
    </w:lvl>
    <w:lvl w:ilvl="4" w:tplc="9984DDF4">
      <w:start w:val="1"/>
      <w:numFmt w:val="bullet"/>
      <w:lvlText w:val="•"/>
      <w:lvlJc w:val="left"/>
      <w:pPr>
        <w:ind w:left="3460" w:hanging="304"/>
      </w:pPr>
      <w:rPr>
        <w:rFonts w:hint="default"/>
      </w:rPr>
    </w:lvl>
    <w:lvl w:ilvl="5" w:tplc="53B813BC">
      <w:start w:val="1"/>
      <w:numFmt w:val="bullet"/>
      <w:lvlText w:val="•"/>
      <w:lvlJc w:val="left"/>
      <w:pPr>
        <w:ind w:left="4180" w:hanging="304"/>
      </w:pPr>
      <w:rPr>
        <w:rFonts w:hint="default"/>
      </w:rPr>
    </w:lvl>
    <w:lvl w:ilvl="6" w:tplc="99CCAB6E">
      <w:start w:val="1"/>
      <w:numFmt w:val="bullet"/>
      <w:lvlText w:val="•"/>
      <w:lvlJc w:val="left"/>
      <w:pPr>
        <w:ind w:left="4900" w:hanging="304"/>
      </w:pPr>
      <w:rPr>
        <w:rFonts w:hint="default"/>
      </w:rPr>
    </w:lvl>
    <w:lvl w:ilvl="7" w:tplc="31C23DAA">
      <w:start w:val="1"/>
      <w:numFmt w:val="bullet"/>
      <w:lvlText w:val="•"/>
      <w:lvlJc w:val="left"/>
      <w:pPr>
        <w:ind w:left="5620" w:hanging="304"/>
      </w:pPr>
      <w:rPr>
        <w:rFonts w:hint="default"/>
      </w:rPr>
    </w:lvl>
    <w:lvl w:ilvl="8" w:tplc="FAC4C894">
      <w:start w:val="1"/>
      <w:numFmt w:val="bullet"/>
      <w:lvlText w:val="•"/>
      <w:lvlJc w:val="left"/>
      <w:pPr>
        <w:ind w:left="6340" w:hanging="304"/>
      </w:pPr>
      <w:rPr>
        <w:rFonts w:hint="default"/>
      </w:rPr>
    </w:lvl>
  </w:abstractNum>
  <w:abstractNum w:abstractNumId="1" w15:restartNumberingAfterBreak="0">
    <w:nsid w:val="1A4906A2"/>
    <w:multiLevelType w:val="hybridMultilevel"/>
    <w:tmpl w:val="321602BE"/>
    <w:lvl w:ilvl="0" w:tplc="04090005">
      <w:start w:val="1"/>
      <w:numFmt w:val="bullet"/>
      <w:lvlText w:val=""/>
      <w:lvlJc w:val="left"/>
      <w:pPr>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214B7787"/>
    <w:multiLevelType w:val="hybridMultilevel"/>
    <w:tmpl w:val="57A833EE"/>
    <w:lvl w:ilvl="0" w:tplc="8332747E">
      <w:start w:val="1"/>
      <w:numFmt w:val="decimal"/>
      <w:lvlText w:val="%1."/>
      <w:lvlJc w:val="left"/>
      <w:pPr>
        <w:ind w:left="580" w:hanging="326"/>
        <w:jc w:val="right"/>
      </w:pPr>
      <w:rPr>
        <w:rFonts w:ascii="Arial" w:eastAsia="Arial" w:hAnsi="Arial" w:hint="default"/>
        <w:color w:val="231F20"/>
        <w:spacing w:val="-29"/>
        <w:w w:val="104"/>
        <w:sz w:val="20"/>
        <w:szCs w:val="20"/>
      </w:rPr>
    </w:lvl>
    <w:lvl w:ilvl="1" w:tplc="99141264">
      <w:start w:val="1"/>
      <w:numFmt w:val="upperLetter"/>
      <w:lvlText w:val="%2."/>
      <w:lvlJc w:val="left"/>
      <w:pPr>
        <w:ind w:left="579" w:hanging="304"/>
      </w:pPr>
      <w:rPr>
        <w:rFonts w:ascii="Bookman Old Style" w:eastAsia="Bookman Old Style" w:hAnsi="Bookman Old Style" w:hint="default"/>
        <w:color w:val="231F20"/>
        <w:w w:val="92"/>
        <w:sz w:val="22"/>
        <w:szCs w:val="22"/>
      </w:rPr>
    </w:lvl>
    <w:lvl w:ilvl="2" w:tplc="08A60D8E">
      <w:start w:val="1"/>
      <w:numFmt w:val="bullet"/>
      <w:lvlText w:val="•"/>
      <w:lvlJc w:val="left"/>
      <w:pPr>
        <w:ind w:left="2020" w:hanging="304"/>
      </w:pPr>
      <w:rPr>
        <w:rFonts w:hint="default"/>
      </w:rPr>
    </w:lvl>
    <w:lvl w:ilvl="3" w:tplc="508673D8">
      <w:start w:val="1"/>
      <w:numFmt w:val="bullet"/>
      <w:lvlText w:val="•"/>
      <w:lvlJc w:val="left"/>
      <w:pPr>
        <w:ind w:left="2740" w:hanging="304"/>
      </w:pPr>
      <w:rPr>
        <w:rFonts w:hint="default"/>
      </w:rPr>
    </w:lvl>
    <w:lvl w:ilvl="4" w:tplc="9984DDF4">
      <w:start w:val="1"/>
      <w:numFmt w:val="bullet"/>
      <w:lvlText w:val="•"/>
      <w:lvlJc w:val="left"/>
      <w:pPr>
        <w:ind w:left="3460" w:hanging="304"/>
      </w:pPr>
      <w:rPr>
        <w:rFonts w:hint="default"/>
      </w:rPr>
    </w:lvl>
    <w:lvl w:ilvl="5" w:tplc="53B813BC">
      <w:start w:val="1"/>
      <w:numFmt w:val="bullet"/>
      <w:lvlText w:val="•"/>
      <w:lvlJc w:val="left"/>
      <w:pPr>
        <w:ind w:left="4180" w:hanging="304"/>
      </w:pPr>
      <w:rPr>
        <w:rFonts w:hint="default"/>
      </w:rPr>
    </w:lvl>
    <w:lvl w:ilvl="6" w:tplc="99CCAB6E">
      <w:start w:val="1"/>
      <w:numFmt w:val="bullet"/>
      <w:lvlText w:val="•"/>
      <w:lvlJc w:val="left"/>
      <w:pPr>
        <w:ind w:left="4900" w:hanging="304"/>
      </w:pPr>
      <w:rPr>
        <w:rFonts w:hint="default"/>
      </w:rPr>
    </w:lvl>
    <w:lvl w:ilvl="7" w:tplc="31C23DAA">
      <w:start w:val="1"/>
      <w:numFmt w:val="bullet"/>
      <w:lvlText w:val="•"/>
      <w:lvlJc w:val="left"/>
      <w:pPr>
        <w:ind w:left="5620" w:hanging="304"/>
      </w:pPr>
      <w:rPr>
        <w:rFonts w:hint="default"/>
      </w:rPr>
    </w:lvl>
    <w:lvl w:ilvl="8" w:tplc="FAC4C894">
      <w:start w:val="1"/>
      <w:numFmt w:val="bullet"/>
      <w:lvlText w:val="•"/>
      <w:lvlJc w:val="left"/>
      <w:pPr>
        <w:ind w:left="6340" w:hanging="304"/>
      </w:pPr>
      <w:rPr>
        <w:rFonts w:hint="default"/>
      </w:rPr>
    </w:lvl>
  </w:abstractNum>
  <w:abstractNum w:abstractNumId="3" w15:restartNumberingAfterBreak="0">
    <w:nsid w:val="6B781BC4"/>
    <w:multiLevelType w:val="multilevel"/>
    <w:tmpl w:val="A518F608"/>
    <w:lvl w:ilvl="0">
      <w:start w:val="1"/>
      <w:numFmt w:val="bullet"/>
      <w:lvlText w:val="·"/>
      <w:lvlJc w:val="left"/>
      <w:pPr>
        <w:tabs>
          <w:tab w:val="left" w:pos="-198"/>
        </w:tabs>
        <w:ind w:left="9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2"/>
    <w:rsid w:val="000145D0"/>
    <w:rsid w:val="000308A9"/>
    <w:rsid w:val="00047ADD"/>
    <w:rsid w:val="000655C2"/>
    <w:rsid w:val="000B33AE"/>
    <w:rsid w:val="000F6BCE"/>
    <w:rsid w:val="00101347"/>
    <w:rsid w:val="001364DA"/>
    <w:rsid w:val="00180DFC"/>
    <w:rsid w:val="00193053"/>
    <w:rsid w:val="001957DA"/>
    <w:rsid w:val="001A040B"/>
    <w:rsid w:val="00204242"/>
    <w:rsid w:val="0024244F"/>
    <w:rsid w:val="00245047"/>
    <w:rsid w:val="002575A3"/>
    <w:rsid w:val="00265B61"/>
    <w:rsid w:val="00271359"/>
    <w:rsid w:val="00283EFC"/>
    <w:rsid w:val="00294564"/>
    <w:rsid w:val="002C78FA"/>
    <w:rsid w:val="00305D92"/>
    <w:rsid w:val="00371974"/>
    <w:rsid w:val="00385336"/>
    <w:rsid w:val="00394930"/>
    <w:rsid w:val="003A3DA8"/>
    <w:rsid w:val="003D4C85"/>
    <w:rsid w:val="004220E0"/>
    <w:rsid w:val="00472F0E"/>
    <w:rsid w:val="00475E5B"/>
    <w:rsid w:val="00490DD7"/>
    <w:rsid w:val="0049364E"/>
    <w:rsid w:val="004B6580"/>
    <w:rsid w:val="004C192F"/>
    <w:rsid w:val="004D4AAD"/>
    <w:rsid w:val="00504C1B"/>
    <w:rsid w:val="00566AC5"/>
    <w:rsid w:val="005751ED"/>
    <w:rsid w:val="00587062"/>
    <w:rsid w:val="005A39C3"/>
    <w:rsid w:val="005C6964"/>
    <w:rsid w:val="005D4938"/>
    <w:rsid w:val="005D56EA"/>
    <w:rsid w:val="005E2BAF"/>
    <w:rsid w:val="00605194"/>
    <w:rsid w:val="00610430"/>
    <w:rsid w:val="00641736"/>
    <w:rsid w:val="00647EF8"/>
    <w:rsid w:val="00663083"/>
    <w:rsid w:val="006B0C4D"/>
    <w:rsid w:val="006B24EC"/>
    <w:rsid w:val="006C31C5"/>
    <w:rsid w:val="006C79EF"/>
    <w:rsid w:val="006C7E2F"/>
    <w:rsid w:val="007236E2"/>
    <w:rsid w:val="00724D24"/>
    <w:rsid w:val="00724E9D"/>
    <w:rsid w:val="00742873"/>
    <w:rsid w:val="007446AE"/>
    <w:rsid w:val="007515CB"/>
    <w:rsid w:val="007A068F"/>
    <w:rsid w:val="007C1668"/>
    <w:rsid w:val="007F53D7"/>
    <w:rsid w:val="00832432"/>
    <w:rsid w:val="0089018B"/>
    <w:rsid w:val="008A3B13"/>
    <w:rsid w:val="008C50BC"/>
    <w:rsid w:val="00981FB2"/>
    <w:rsid w:val="00996F3C"/>
    <w:rsid w:val="009A0025"/>
    <w:rsid w:val="009D4308"/>
    <w:rsid w:val="00A417AB"/>
    <w:rsid w:val="00A50C8C"/>
    <w:rsid w:val="00A63117"/>
    <w:rsid w:val="00AA1FF1"/>
    <w:rsid w:val="00B059B2"/>
    <w:rsid w:val="00B1153A"/>
    <w:rsid w:val="00B54E2F"/>
    <w:rsid w:val="00B93A2D"/>
    <w:rsid w:val="00BC3158"/>
    <w:rsid w:val="00BC31B2"/>
    <w:rsid w:val="00BE3FE2"/>
    <w:rsid w:val="00C34993"/>
    <w:rsid w:val="00C45D58"/>
    <w:rsid w:val="00C92753"/>
    <w:rsid w:val="00D15160"/>
    <w:rsid w:val="00D355DC"/>
    <w:rsid w:val="00D77364"/>
    <w:rsid w:val="00D802EE"/>
    <w:rsid w:val="00DB6BA3"/>
    <w:rsid w:val="00DF0744"/>
    <w:rsid w:val="00E056D8"/>
    <w:rsid w:val="00E63281"/>
    <w:rsid w:val="00E73725"/>
    <w:rsid w:val="00E954B1"/>
    <w:rsid w:val="00EB3070"/>
    <w:rsid w:val="00ED35F7"/>
    <w:rsid w:val="00ED399C"/>
    <w:rsid w:val="00F1669B"/>
    <w:rsid w:val="00F254A4"/>
    <w:rsid w:val="00F264A5"/>
    <w:rsid w:val="00FB208D"/>
    <w:rsid w:val="00FB3849"/>
    <w:rsid w:val="00FD7FC7"/>
    <w:rsid w:val="00FE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AB7CF-25FB-4374-A06D-35C45356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75E5B"/>
    <w:pPr>
      <w:widowControl w:val="0"/>
      <w:spacing w:after="0" w:line="240" w:lineRule="auto"/>
      <w:ind w:left="120"/>
      <w:outlineLvl w:val="1"/>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5160"/>
    <w:pPr>
      <w:widowControl w:val="0"/>
      <w:spacing w:before="1" w:after="0" w:line="240" w:lineRule="auto"/>
      <w:ind w:left="100"/>
    </w:pPr>
    <w:rPr>
      <w:rFonts w:ascii="Bookman Old Style" w:eastAsia="Bookman Old Style" w:hAnsi="Bookman Old Style"/>
    </w:rPr>
  </w:style>
  <w:style w:type="character" w:customStyle="1" w:styleId="BodyTextChar">
    <w:name w:val="Body Text Char"/>
    <w:basedOn w:val="DefaultParagraphFont"/>
    <w:link w:val="BodyText"/>
    <w:uiPriority w:val="1"/>
    <w:rsid w:val="00D15160"/>
    <w:rPr>
      <w:rFonts w:ascii="Bookman Old Style" w:eastAsia="Bookman Old Style" w:hAnsi="Bookman Old Style"/>
    </w:rPr>
  </w:style>
  <w:style w:type="character" w:customStyle="1" w:styleId="Heading2Char">
    <w:name w:val="Heading 2 Char"/>
    <w:basedOn w:val="DefaultParagraphFont"/>
    <w:link w:val="Heading2"/>
    <w:uiPriority w:val="1"/>
    <w:rsid w:val="00475E5B"/>
    <w:rPr>
      <w:rFonts w:ascii="Arial" w:eastAsia="Arial" w:hAnsi="Arial"/>
      <w:sz w:val="26"/>
      <w:szCs w:val="26"/>
    </w:rPr>
  </w:style>
  <w:style w:type="paragraph" w:styleId="Header">
    <w:name w:val="header"/>
    <w:basedOn w:val="Normal"/>
    <w:link w:val="HeaderChar"/>
    <w:uiPriority w:val="99"/>
    <w:unhideWhenUsed/>
    <w:rsid w:val="00504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1B"/>
  </w:style>
  <w:style w:type="paragraph" w:styleId="Footer">
    <w:name w:val="footer"/>
    <w:basedOn w:val="Normal"/>
    <w:link w:val="FooterChar"/>
    <w:uiPriority w:val="99"/>
    <w:unhideWhenUsed/>
    <w:rsid w:val="0050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1B"/>
  </w:style>
  <w:style w:type="paragraph" w:styleId="ListParagraph">
    <w:name w:val="List Paragraph"/>
    <w:basedOn w:val="Normal"/>
    <w:uiPriority w:val="1"/>
    <w:qFormat/>
    <w:rsid w:val="00663083"/>
    <w:pPr>
      <w:widowControl w:val="0"/>
      <w:spacing w:after="0" w:line="240" w:lineRule="auto"/>
    </w:pPr>
  </w:style>
  <w:style w:type="character" w:styleId="Hyperlink">
    <w:name w:val="Hyperlink"/>
    <w:basedOn w:val="DefaultParagraphFont"/>
    <w:uiPriority w:val="99"/>
    <w:unhideWhenUsed/>
    <w:rsid w:val="00663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 Idziak</dc:creator>
  <cp:keywords/>
  <dc:description/>
  <cp:lastModifiedBy>Janine M. Idziak</cp:lastModifiedBy>
  <cp:revision>30</cp:revision>
  <dcterms:created xsi:type="dcterms:W3CDTF">2016-07-19T20:49:00Z</dcterms:created>
  <dcterms:modified xsi:type="dcterms:W3CDTF">2016-07-28T21:07:00Z</dcterms:modified>
</cp:coreProperties>
</file>