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1DF" w:rsidRPr="006421DF" w:rsidRDefault="006421DF" w:rsidP="006421DF">
      <w:pPr>
        <w:pBdr>
          <w:top w:val="double" w:sz="4" w:space="1" w:color="auto"/>
          <w:left w:val="double" w:sz="4" w:space="4" w:color="auto"/>
          <w:bottom w:val="double" w:sz="4" w:space="1" w:color="auto"/>
          <w:right w:val="double" w:sz="4" w:space="4" w:color="auto"/>
        </w:pBdr>
        <w:rPr>
          <w:b/>
          <w:sz w:val="28"/>
          <w:szCs w:val="28"/>
          <w:u w:val="single"/>
        </w:rPr>
      </w:pPr>
      <w:r w:rsidRPr="006421DF">
        <w:rPr>
          <w:b/>
          <w:sz w:val="28"/>
          <w:szCs w:val="28"/>
          <w:u w:val="single"/>
        </w:rPr>
        <w:t xml:space="preserve">Adoration eucharistique : 2 juin 2013 </w:t>
      </w:r>
    </w:p>
    <w:p w:rsidR="006421DF" w:rsidRPr="006421DF" w:rsidRDefault="006421DF" w:rsidP="006421DF">
      <w:pPr>
        <w:pBdr>
          <w:top w:val="double" w:sz="4" w:space="1" w:color="auto"/>
          <w:left w:val="double" w:sz="4" w:space="4" w:color="auto"/>
          <w:bottom w:val="double" w:sz="4" w:space="1" w:color="auto"/>
          <w:right w:val="double" w:sz="4" w:space="4" w:color="auto"/>
        </w:pBdr>
        <w:ind w:firstLine="708"/>
        <w:rPr>
          <w:sz w:val="28"/>
          <w:szCs w:val="28"/>
        </w:rPr>
      </w:pPr>
      <w:r w:rsidRPr="006421DF">
        <w:rPr>
          <w:sz w:val="28"/>
          <w:szCs w:val="28"/>
        </w:rPr>
        <w:t>Dans le contexte de l’Année de la foi, le Conseil Pontifical pour la nouvelle Évangélisation informe que Sa Sainteté le Pape François présidera une heure d’adoration eucharistique dans la Basilique Saint-Pierre de Rome, le dimanche deux juin prochain à 17 heures, fête du Saint-Sacrement.</w:t>
      </w:r>
    </w:p>
    <w:p w:rsidR="006421DF" w:rsidRPr="006421DF" w:rsidRDefault="006421DF" w:rsidP="006421DF">
      <w:pPr>
        <w:pBdr>
          <w:top w:val="double" w:sz="4" w:space="1" w:color="auto"/>
          <w:left w:val="double" w:sz="4" w:space="4" w:color="auto"/>
          <w:bottom w:val="double" w:sz="4" w:space="1" w:color="auto"/>
          <w:right w:val="double" w:sz="4" w:space="4" w:color="auto"/>
        </w:pBdr>
        <w:rPr>
          <w:sz w:val="28"/>
          <w:szCs w:val="28"/>
        </w:rPr>
      </w:pPr>
      <w:r w:rsidRPr="006421DF">
        <w:rPr>
          <w:sz w:val="28"/>
          <w:szCs w:val="28"/>
        </w:rPr>
        <w:tab/>
        <w:t>Le Conseil pontifical souhaite grandement que les diocèses s’unissent au Saint-Père pour ce moment de prière.</w:t>
      </w:r>
    </w:p>
    <w:p w:rsidR="006421DF" w:rsidRPr="006421DF" w:rsidRDefault="006421DF" w:rsidP="006421DF">
      <w:pPr>
        <w:pBdr>
          <w:top w:val="double" w:sz="4" w:space="1" w:color="auto"/>
          <w:left w:val="double" w:sz="4" w:space="4" w:color="auto"/>
          <w:bottom w:val="double" w:sz="4" w:space="1" w:color="auto"/>
          <w:right w:val="double" w:sz="4" w:space="4" w:color="auto"/>
        </w:pBdr>
        <w:rPr>
          <w:sz w:val="28"/>
          <w:szCs w:val="28"/>
        </w:rPr>
      </w:pPr>
      <w:r w:rsidRPr="006421DF">
        <w:rPr>
          <w:sz w:val="28"/>
          <w:szCs w:val="28"/>
        </w:rPr>
        <w:tab/>
        <w:t>A la Cathédrale, cette heure d’adoration eucharistique aura lieu le dimanche deux juin, à 16 heures. Les paroisses de la ville, avec leurs pasteurs, y sont conviées.</w:t>
      </w:r>
    </w:p>
    <w:p w:rsidR="00CB1517" w:rsidRPr="006421DF" w:rsidRDefault="006421DF" w:rsidP="006421DF">
      <w:pPr>
        <w:pBdr>
          <w:top w:val="double" w:sz="4" w:space="1" w:color="auto"/>
          <w:left w:val="double" w:sz="4" w:space="4" w:color="auto"/>
          <w:bottom w:val="double" w:sz="4" w:space="1" w:color="auto"/>
          <w:right w:val="double" w:sz="4" w:space="4" w:color="auto"/>
        </w:pBdr>
        <w:spacing w:after="0" w:line="240" w:lineRule="auto"/>
        <w:rPr>
          <w:sz w:val="28"/>
          <w:szCs w:val="28"/>
        </w:rPr>
      </w:pPr>
      <w:r w:rsidRPr="006421DF">
        <w:rPr>
          <w:sz w:val="28"/>
          <w:szCs w:val="28"/>
        </w:rPr>
        <w:tab/>
        <w:t xml:space="preserve">Il convient grandement que les autres paroisses offrent une telle célébration, en se regroupant si possible avec les paroisses voisines. A toute fin pratique, le Centre diocésain fera parvenir prochainement un schéma de célébration. On pourra trouver aussi sur le site </w:t>
      </w:r>
      <w:hyperlink r:id="rId7" w:history="1">
        <w:r w:rsidRPr="006421DF">
          <w:rPr>
            <w:rStyle w:val="Hyperlink"/>
            <w:sz w:val="28"/>
            <w:szCs w:val="28"/>
          </w:rPr>
          <w:t>www.annusfidei.va</w:t>
        </w:r>
      </w:hyperlink>
      <w:r w:rsidRPr="006421DF">
        <w:rPr>
          <w:sz w:val="28"/>
          <w:szCs w:val="28"/>
        </w:rPr>
        <w:t xml:space="preserve"> des informations supplémentaires.</w:t>
      </w:r>
    </w:p>
    <w:p w:rsidR="00C65A54" w:rsidRPr="006421DF" w:rsidRDefault="00C65A54">
      <w:pPr>
        <w:spacing w:after="0" w:line="240" w:lineRule="auto"/>
      </w:pPr>
    </w:p>
    <w:p w:rsidR="006421DF" w:rsidRPr="006421DF" w:rsidRDefault="006421DF" w:rsidP="006421DF">
      <w:pPr>
        <w:rPr>
          <w:b/>
          <w:sz w:val="28"/>
          <w:szCs w:val="28"/>
          <w:u w:val="single"/>
        </w:rPr>
      </w:pPr>
      <w:r w:rsidRPr="006421DF">
        <w:rPr>
          <w:b/>
          <w:sz w:val="28"/>
          <w:szCs w:val="28"/>
          <w:u w:val="single"/>
        </w:rPr>
        <w:t>Message du Saint-Père aux confirmés</w:t>
      </w:r>
    </w:p>
    <w:p w:rsidR="006421DF" w:rsidRPr="006421DF" w:rsidRDefault="006421DF" w:rsidP="006421DF">
      <w:pPr>
        <w:rPr>
          <w:b/>
          <w:sz w:val="28"/>
          <w:szCs w:val="28"/>
        </w:rPr>
      </w:pPr>
    </w:p>
    <w:p w:rsidR="00C65A54" w:rsidRPr="006421DF" w:rsidRDefault="006421DF" w:rsidP="006421DF">
      <w:pPr>
        <w:spacing w:after="0" w:line="240" w:lineRule="auto"/>
        <w:rPr>
          <w:sz w:val="28"/>
          <w:szCs w:val="28"/>
        </w:rPr>
      </w:pPr>
      <w:r w:rsidRPr="006421DF">
        <w:rPr>
          <w:sz w:val="28"/>
          <w:szCs w:val="28"/>
        </w:rPr>
        <w:t>Le dimanche 28 avril dernier, le Saint-Père a conféré le sacrement de confirmation à une quarantaine de personnes sur la Place Saint-Pierre, dans le cadre d’un pèlerinage à l’intention des confirmés et confirmands de l’Année de la foi</w:t>
      </w:r>
      <w:r>
        <w:rPr>
          <w:sz w:val="28"/>
          <w:szCs w:val="28"/>
        </w:rPr>
        <w:t>.</w:t>
      </w:r>
    </w:p>
    <w:p w:rsidR="00C65A54" w:rsidRPr="006421DF" w:rsidRDefault="00C65A54">
      <w:pPr>
        <w:spacing w:after="0" w:line="240" w:lineRule="auto"/>
        <w:sectPr w:rsidR="00C65A54" w:rsidRPr="006421DF" w:rsidSect="00920CAF">
          <w:headerReference w:type="default" r:id="rId8"/>
          <w:footerReference w:type="default" r:id="rId9"/>
          <w:pgSz w:w="12240" w:h="15840"/>
          <w:pgMar w:top="2246" w:right="1440" w:bottom="1260" w:left="1440" w:header="576" w:footer="432" w:gutter="0"/>
          <w:cols w:space="708"/>
          <w:docGrid w:linePitch="360"/>
        </w:sectPr>
      </w:pPr>
    </w:p>
    <w:p w:rsidR="006421DF" w:rsidRPr="006421DF" w:rsidRDefault="006421DF" w:rsidP="006421DF">
      <w:pPr>
        <w:rPr>
          <w:i/>
          <w:sz w:val="28"/>
          <w:szCs w:val="28"/>
        </w:rPr>
      </w:pPr>
      <w:r w:rsidRPr="006421DF">
        <w:rPr>
          <w:sz w:val="28"/>
          <w:szCs w:val="28"/>
        </w:rPr>
        <w:lastRenderedPageBreak/>
        <w:t>Dans l’homélie qu’il a prononcée en cette occasion,  le Pape François invite les jeunes à intensifier leur vie de foi :</w:t>
      </w:r>
    </w:p>
    <w:p w:rsidR="00C65A54" w:rsidRPr="006421DF" w:rsidRDefault="00C65A54" w:rsidP="00BE6F89"/>
    <w:p w:rsidR="00305A1F" w:rsidRPr="006421DF" w:rsidRDefault="00305A1F" w:rsidP="00305A1F"/>
    <w:p w:rsidR="00BE6F89" w:rsidRPr="006421DF" w:rsidRDefault="00BE6F89" w:rsidP="00BE6F89">
      <w:pPr>
        <w:pStyle w:val="NormalWeb"/>
        <w:jc w:val="both"/>
        <w:rPr>
          <w:i/>
        </w:rPr>
        <w:sectPr w:rsidR="00BE6F89" w:rsidRPr="006421DF" w:rsidSect="00C65A54">
          <w:headerReference w:type="default" r:id="rId10"/>
          <w:type w:val="continuous"/>
          <w:pgSz w:w="12240" w:h="15840"/>
          <w:pgMar w:top="2246" w:right="1440" w:bottom="1440" w:left="1440" w:header="1440" w:footer="432" w:gutter="0"/>
          <w:cols w:space="708"/>
          <w:docGrid w:linePitch="360"/>
        </w:sectPr>
      </w:pPr>
    </w:p>
    <w:p w:rsidR="00BE6F89" w:rsidRPr="006421DF" w:rsidRDefault="00BE6F89" w:rsidP="00BE6F89">
      <w:pPr>
        <w:tabs>
          <w:tab w:val="left" w:pos="3780"/>
          <w:tab w:val="center" w:pos="4680"/>
        </w:tabs>
        <w:jc w:val="left"/>
      </w:pPr>
    </w:p>
    <w:p w:rsidR="006421DF" w:rsidRDefault="006421DF" w:rsidP="006421DF">
      <w:pPr>
        <w:pStyle w:val="NormalWeb"/>
        <w:jc w:val="both"/>
        <w:rPr>
          <w:i/>
        </w:rPr>
        <w:sectPr w:rsidR="006421DF" w:rsidSect="00C65A54">
          <w:type w:val="continuous"/>
          <w:pgSz w:w="12240" w:h="15840"/>
          <w:pgMar w:top="2246" w:right="1440" w:bottom="1440" w:left="1440" w:header="1440" w:footer="432" w:gutter="0"/>
          <w:cols w:space="708"/>
          <w:docGrid w:linePitch="360"/>
        </w:sectPr>
      </w:pPr>
    </w:p>
    <w:p w:rsidR="006421DF" w:rsidRPr="00314BF2" w:rsidRDefault="006421DF" w:rsidP="006421DF">
      <w:pPr>
        <w:pStyle w:val="NormalWeb"/>
        <w:jc w:val="both"/>
        <w:rPr>
          <w:i/>
        </w:rPr>
      </w:pPr>
      <w:r w:rsidRPr="00314BF2">
        <w:rPr>
          <w:i/>
        </w:rPr>
        <w:lastRenderedPageBreak/>
        <w:t xml:space="preserve">C’est une invitation que je vous adresse à vous confirmands et à tous : demeurez solides sur le chemin de la foi avec une ferme espérance dans le Seigneur. Là se trouve le secret de notre chemin ! Lui nous donne le courage d’aller à contre-courant. Écoutez bien, les jeunes : aller à contre-courant ; cela fait du bien au cœur, mais il nous faut du courage pour aller à contre-courant et lui nous donne ce courage ! Il n’y a pas de difficultés, d’épreuves, d’incompréhensions qui doivent nous faire peur si nous demeurons unis à Dieu comme les sarments sont unis à la vigne, si nous ne perdons pas l’amitié avec lui, si nous lui faisons toujours plus de place dans notre vie. Ceci aussi et surtout si nous nous sentons pauvres, faibles, pécheurs, parce que Dieu donne force à notre faiblesse, richesse à notre pauvreté, conversion et pardon à notre péché. Il est si miséricordieux le Seigneur : si nous allons à </w:t>
      </w:r>
      <w:r w:rsidRPr="00314BF2">
        <w:rPr>
          <w:i/>
        </w:rPr>
        <w:lastRenderedPageBreak/>
        <w:t>lui, il nous pardonne toujours. Ayons confiance dans l’action de Dieu ! Avec lui nous pouvons faire de grandes choses ; il nous fera sentir la joie d’être ses disciples, ses témoins. Misez sur les grands idéaux, sur les grandes choses. Nous chrétiens nous ne sommes pas choisis par le Seigneur pour de petites bricoles, allez toujours au-delà, vers les grandes choses. Jeunes, jouez votre vie pour de grands idéaux!</w:t>
      </w:r>
    </w:p>
    <w:p w:rsidR="00FE067E" w:rsidRDefault="006421DF" w:rsidP="006421DF">
      <w:pPr>
        <w:tabs>
          <w:tab w:val="left" w:pos="3780"/>
          <w:tab w:val="center" w:pos="4680"/>
        </w:tabs>
        <w:jc w:val="left"/>
      </w:pPr>
      <w:r w:rsidRPr="00314BF2">
        <w:rPr>
          <w:i/>
        </w:rPr>
        <w:t xml:space="preserve">Nouveauté de Dieu, épreuve dans la vie, solides dans le Seigneur. Chers amis, ouvrons grande la porte de notre vie à la nouveauté de Dieu que nous donne l’Esprit Saint, pour qu’il nous transforme, nous rende forts dans les épreuves, renforce notre union avec le Seigneur, nous fasse demeurer solides en lui : c’est une vraie joie ! </w:t>
      </w:r>
      <w:r w:rsidRPr="00A55E58">
        <w:rPr>
          <w:i/>
        </w:rPr>
        <w:t>Qu’il en soit ainsi</w:t>
      </w:r>
      <w:r>
        <w:rPr>
          <w:i/>
        </w:rPr>
        <w:t>!</w:t>
      </w:r>
      <w:r w:rsidR="00BE6F89" w:rsidRPr="006421DF">
        <w:tab/>
      </w:r>
      <w:r w:rsidR="005E217A">
        <w:t xml:space="preserve"> </w:t>
      </w:r>
    </w:p>
    <w:p w:rsidR="006421DF" w:rsidRDefault="006421DF">
      <w:pPr>
        <w:tabs>
          <w:tab w:val="left" w:pos="3780"/>
          <w:tab w:val="center" w:pos="4680"/>
        </w:tabs>
        <w:jc w:val="left"/>
        <w:sectPr w:rsidR="006421DF" w:rsidSect="006421DF">
          <w:type w:val="continuous"/>
          <w:pgSz w:w="12240" w:h="15840"/>
          <w:pgMar w:top="2246" w:right="1440" w:bottom="1440" w:left="1440" w:header="1440" w:footer="432" w:gutter="0"/>
          <w:cols w:num="2" w:space="708"/>
          <w:docGrid w:linePitch="360"/>
        </w:sectPr>
      </w:pPr>
    </w:p>
    <w:p w:rsidR="006421DF" w:rsidRDefault="006421DF">
      <w:pPr>
        <w:tabs>
          <w:tab w:val="left" w:pos="3780"/>
          <w:tab w:val="center" w:pos="4680"/>
        </w:tabs>
        <w:jc w:val="left"/>
      </w:pPr>
    </w:p>
    <w:p w:rsidR="006421DF" w:rsidRPr="006421DF" w:rsidRDefault="006421DF" w:rsidP="006421DF">
      <w:pPr>
        <w:pBdr>
          <w:top w:val="double" w:sz="4" w:space="1" w:color="auto"/>
          <w:left w:val="double" w:sz="4" w:space="4" w:color="auto"/>
          <w:bottom w:val="double" w:sz="4" w:space="1" w:color="auto"/>
          <w:right w:val="double" w:sz="4" w:space="4" w:color="auto"/>
        </w:pBdr>
        <w:rPr>
          <w:b/>
          <w:sz w:val="28"/>
          <w:szCs w:val="28"/>
          <w:u w:val="single"/>
        </w:rPr>
      </w:pPr>
      <w:r w:rsidRPr="006421DF">
        <w:rPr>
          <w:b/>
          <w:sz w:val="28"/>
          <w:szCs w:val="28"/>
          <w:u w:val="single"/>
        </w:rPr>
        <w:t>Fête de la Pentecôte</w:t>
      </w:r>
    </w:p>
    <w:p w:rsidR="006421DF" w:rsidRPr="006421DF" w:rsidRDefault="006421DF" w:rsidP="006421DF">
      <w:pPr>
        <w:pBdr>
          <w:top w:val="double" w:sz="4" w:space="1" w:color="auto"/>
          <w:left w:val="double" w:sz="4" w:space="4" w:color="auto"/>
          <w:bottom w:val="double" w:sz="4" w:space="1" w:color="auto"/>
          <w:right w:val="double" w:sz="4" w:space="4" w:color="auto"/>
        </w:pBdr>
        <w:rPr>
          <w:sz w:val="28"/>
          <w:szCs w:val="28"/>
          <w:u w:val="single"/>
        </w:rPr>
      </w:pPr>
    </w:p>
    <w:p w:rsidR="006421DF" w:rsidRPr="006421DF" w:rsidRDefault="006421DF" w:rsidP="006421DF">
      <w:pPr>
        <w:pBdr>
          <w:top w:val="double" w:sz="4" w:space="1" w:color="auto"/>
          <w:left w:val="double" w:sz="4" w:space="4" w:color="auto"/>
          <w:bottom w:val="double" w:sz="4" w:space="1" w:color="auto"/>
          <w:right w:val="double" w:sz="4" w:space="4" w:color="auto"/>
        </w:pBdr>
        <w:rPr>
          <w:sz w:val="28"/>
          <w:szCs w:val="28"/>
        </w:rPr>
      </w:pPr>
      <w:r w:rsidRPr="006421DF">
        <w:rPr>
          <w:sz w:val="28"/>
          <w:szCs w:val="28"/>
        </w:rPr>
        <w:t>À l’occasion de la fête de la Pentecôte qui aura lieu le 19 mai prochain, je serai dans la région de Chicoutimi pour quelques jours.  C’est un moment pour moi, de rencontrer les confrères prêtres de mon diocèse d’origine.  En outre, les parents et amis qui n’ont pu venir à Timmins en décembre pour mon ordination comme évêque de Timmins, veulent profiter de mon passage pour commémorer mes (40) ans d’ordination sacerdotale.</w:t>
      </w:r>
    </w:p>
    <w:p w:rsidR="006421DF" w:rsidRDefault="006421DF" w:rsidP="006421DF"/>
    <w:p w:rsidR="006421DF" w:rsidRPr="00314BF2" w:rsidRDefault="006421DF" w:rsidP="006421DF"/>
    <w:p w:rsidR="006421DF" w:rsidRDefault="006421DF" w:rsidP="006421DF">
      <w:pPr>
        <w:jc w:val="center"/>
      </w:pPr>
      <w:r>
        <w:sym w:font="Wingdings" w:char="F058"/>
      </w:r>
      <w:r>
        <w:t xml:space="preserve"> Serge Poitras</w:t>
      </w:r>
    </w:p>
    <w:p w:rsidR="006421DF" w:rsidRDefault="006421DF" w:rsidP="006421DF">
      <w:pPr>
        <w:jc w:val="center"/>
      </w:pPr>
      <w:r>
        <w:t>Évêque de Timmins</w:t>
      </w:r>
    </w:p>
    <w:p w:rsidR="006421DF" w:rsidRDefault="006421DF">
      <w:pPr>
        <w:tabs>
          <w:tab w:val="left" w:pos="3780"/>
          <w:tab w:val="center" w:pos="4680"/>
        </w:tabs>
        <w:jc w:val="left"/>
      </w:pPr>
    </w:p>
    <w:sectPr w:rsidR="006421DF" w:rsidSect="00C65A54">
      <w:type w:val="continuous"/>
      <w:pgSz w:w="12240" w:h="15840"/>
      <w:pgMar w:top="2246" w:right="1440" w:bottom="1440" w:left="1440" w:header="1440" w:footer="43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21DF" w:rsidRDefault="006421DF" w:rsidP="003E413F">
      <w:r>
        <w:separator/>
      </w:r>
    </w:p>
  </w:endnote>
  <w:endnote w:type="continuationSeparator" w:id="0">
    <w:p w:rsidR="006421DF" w:rsidRDefault="006421DF" w:rsidP="003E413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360" w:type="dxa"/>
      <w:jc w:val="center"/>
      <w:tblBorders>
        <w:left w:val="none" w:sz="0" w:space="0" w:color="auto"/>
        <w:bottom w:val="none" w:sz="0" w:space="0" w:color="auto"/>
        <w:right w:val="none" w:sz="0" w:space="0" w:color="auto"/>
        <w:insideH w:val="none" w:sz="0" w:space="0" w:color="auto"/>
        <w:insideV w:val="none" w:sz="0" w:space="0" w:color="auto"/>
      </w:tblBorders>
      <w:tblLook w:val="04A0"/>
    </w:tblPr>
    <w:tblGrid>
      <w:gridCol w:w="4680"/>
      <w:gridCol w:w="4680"/>
    </w:tblGrid>
    <w:tr w:rsidR="006421DF" w:rsidTr="00737F2B">
      <w:trPr>
        <w:jc w:val="center"/>
      </w:trPr>
      <w:tc>
        <w:tcPr>
          <w:tcW w:w="4680" w:type="dxa"/>
        </w:tcPr>
        <w:p w:rsidR="006421DF" w:rsidRDefault="006421DF" w:rsidP="00BE6F89">
          <w:pPr>
            <w:pStyle w:val="Footer"/>
          </w:pPr>
          <w:r>
            <w:t>01/05/2013</w:t>
          </w:r>
        </w:p>
      </w:tc>
      <w:tc>
        <w:tcPr>
          <w:tcW w:w="4680" w:type="dxa"/>
        </w:tcPr>
        <w:p w:rsidR="006421DF" w:rsidRDefault="006421DF" w:rsidP="00737F2B">
          <w:pPr>
            <w:pStyle w:val="Footer"/>
            <w:jc w:val="right"/>
          </w:pPr>
          <w:r>
            <w:rPr>
              <w:color w:val="7F7F7F" w:themeColor="background1" w:themeShade="7F"/>
              <w:spacing w:val="60"/>
            </w:rPr>
            <w:t>Page</w:t>
          </w:r>
          <w:r>
            <w:t xml:space="preserve"> | </w:t>
          </w:r>
          <w:fldSimple w:instr=" PAGE   \* MERGEFORMAT ">
            <w:r w:rsidR="00BF3A5B" w:rsidRPr="00BF3A5B">
              <w:rPr>
                <w:b/>
                <w:noProof/>
              </w:rPr>
              <w:t>1</w:t>
            </w:r>
          </w:fldSimple>
        </w:p>
      </w:tc>
    </w:tr>
  </w:tbl>
  <w:p w:rsidR="006421DF" w:rsidRDefault="006421D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21DF" w:rsidRDefault="006421DF" w:rsidP="003E413F">
      <w:r>
        <w:separator/>
      </w:r>
    </w:p>
  </w:footnote>
  <w:footnote w:type="continuationSeparator" w:id="0">
    <w:p w:rsidR="006421DF" w:rsidRDefault="006421DF" w:rsidP="003E41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1DF" w:rsidRPr="009F142B" w:rsidRDefault="006421DF" w:rsidP="00920CAF">
    <w:pPr>
      <w:pStyle w:val="Header"/>
      <w:rPr>
        <w:lang w:val="en-CA"/>
      </w:rPr>
    </w:pPr>
    <w:r>
      <w:rPr>
        <w:noProof/>
        <w:lang w:eastAsia="fr-CA"/>
      </w:rPr>
      <w:drawing>
        <wp:inline distT="0" distB="0" distL="0" distR="0">
          <wp:extent cx="1300867" cy="1367850"/>
          <wp:effectExtent l="19050" t="0" r="0" b="0"/>
          <wp:docPr id="2" name="Picture 1" descr="LOGO-DIOCE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IOCESE.BMP"/>
                  <pic:cNvPicPr/>
                </pic:nvPicPr>
                <pic:blipFill>
                  <a:blip r:embed="rId1"/>
                  <a:stretch>
                    <a:fillRect/>
                  </a:stretch>
                </pic:blipFill>
                <pic:spPr>
                  <a:xfrm>
                    <a:off x="0" y="0"/>
                    <a:ext cx="1303483" cy="1370601"/>
                  </a:xfrm>
                  <a:prstGeom prst="rect">
                    <a:avLst/>
                  </a:prstGeom>
                </pic:spPr>
              </pic:pic>
            </a:graphicData>
          </a:graphic>
        </wp:inline>
      </w:drawing>
    </w:r>
    <w:r>
      <w:ptab w:relativeTo="margin" w:alignment="center" w:leader="none"/>
    </w:r>
    <w:r>
      <w:t xml:space="preserve">   </w:t>
    </w:r>
    <w: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165.3pt;height:65.75pt" fillcolor="black [3213]" strokecolor="black [3213]">
          <v:fill color2="#099" focus="100%" type="gradient"/>
          <v:shadow on="t" color="silver" opacity="52429f" offset="3pt,3pt"/>
          <v:textpath style="font-family:&quot;Times New Roman&quot;;v-text-kern:t" trim="t" fitpath="t" xscale="f" string="Infofax"/>
        </v:shape>
      </w:pict>
    </w:r>
    <w:r>
      <w:ptab w:relativeTo="margin" w:alignment="right" w:leader="none"/>
    </w:r>
    <w:r>
      <w:object w:dxaOrig="7368" w:dyaOrig="10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25pt;height:114.55pt" o:ole="">
          <v:imagedata r:id="rId2" o:title=""/>
        </v:shape>
        <o:OLEObject Type="Embed" ProgID="AcroExch.Document.7" ShapeID="_x0000_i1026" DrawAspect="Content" ObjectID="_1435394001" r:id="rId3"/>
      </w:object>
    </w:r>
  </w:p>
  <w:p w:rsidR="006421DF" w:rsidRDefault="006421DF"/>
  <w:tbl>
    <w:tblPr>
      <w:tblStyle w:val="TableGrid"/>
      <w:tblW w:w="0" w:type="auto"/>
      <w:jc w:val="center"/>
      <w:tblLook w:val="04A0"/>
    </w:tblPr>
    <w:tblGrid>
      <w:gridCol w:w="4486"/>
      <w:gridCol w:w="5090"/>
    </w:tblGrid>
    <w:tr w:rsidR="006421DF" w:rsidTr="00920CAF">
      <w:trPr>
        <w:trHeight w:val="288"/>
        <w:jc w:val="center"/>
      </w:trPr>
      <w:tc>
        <w:tcPr>
          <w:tcW w:w="4486" w:type="dxa"/>
          <w:tcBorders>
            <w:left w:val="nil"/>
            <w:right w:val="nil"/>
          </w:tcBorders>
        </w:tcPr>
        <w:p w:rsidR="006421DF" w:rsidRPr="003E413F" w:rsidRDefault="006421DF">
          <w:pPr>
            <w:pStyle w:val="Header"/>
          </w:pPr>
          <w:r>
            <w:t>Dioc</w:t>
          </w:r>
          <w:r w:rsidRPr="003E413F">
            <w:t>èse de Timmins  /  Diocese of Timmins</w:t>
          </w:r>
        </w:p>
      </w:tc>
      <w:tc>
        <w:tcPr>
          <w:tcW w:w="5090" w:type="dxa"/>
          <w:tcBorders>
            <w:left w:val="nil"/>
            <w:right w:val="nil"/>
          </w:tcBorders>
        </w:tcPr>
        <w:p w:rsidR="006421DF" w:rsidRPr="003E413F" w:rsidRDefault="006421DF" w:rsidP="00BE6F89">
          <w:pPr>
            <w:pStyle w:val="Header"/>
            <w:jc w:val="right"/>
            <w:rPr>
              <w:lang w:val="en-CA"/>
            </w:rPr>
          </w:pPr>
          <w:r>
            <w:t xml:space="preserve">No 5  </w:t>
          </w:r>
          <w:r>
            <w:rPr>
              <w:lang w:val="en-CA"/>
            </w:rPr>
            <w:t xml:space="preserve">|  </w:t>
          </w:r>
          <w:r>
            <w:rPr>
              <w:lang w:val="en-CA"/>
            </w:rPr>
            <w:sym w:font="Wingdings" w:char="F058"/>
          </w:r>
          <w:r>
            <w:rPr>
              <w:lang w:val="en-CA"/>
            </w:rPr>
            <w:t xml:space="preserve"> S.P.</w:t>
          </w:r>
        </w:p>
      </w:tc>
    </w:tr>
  </w:tbl>
  <w:p w:rsidR="006421DF" w:rsidRDefault="006421D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Look w:val="04A0"/>
    </w:tblPr>
    <w:tblGrid>
      <w:gridCol w:w="4486"/>
      <w:gridCol w:w="5090"/>
    </w:tblGrid>
    <w:tr w:rsidR="006421DF" w:rsidTr="00920CAF">
      <w:trPr>
        <w:trHeight w:val="288"/>
        <w:jc w:val="center"/>
      </w:trPr>
      <w:tc>
        <w:tcPr>
          <w:tcW w:w="4486" w:type="dxa"/>
          <w:tcBorders>
            <w:left w:val="nil"/>
            <w:right w:val="nil"/>
          </w:tcBorders>
        </w:tcPr>
        <w:p w:rsidR="006421DF" w:rsidRPr="003E413F" w:rsidRDefault="006421DF">
          <w:pPr>
            <w:pStyle w:val="Header"/>
          </w:pPr>
          <w:r>
            <w:t xml:space="preserve"> Dioc</w:t>
          </w:r>
          <w:r w:rsidRPr="003E413F">
            <w:t>èse de Timmins  /  Diocese of Timmins</w:t>
          </w:r>
        </w:p>
      </w:tc>
      <w:tc>
        <w:tcPr>
          <w:tcW w:w="5090" w:type="dxa"/>
          <w:tcBorders>
            <w:left w:val="nil"/>
            <w:right w:val="nil"/>
          </w:tcBorders>
        </w:tcPr>
        <w:p w:rsidR="006421DF" w:rsidRPr="003E413F" w:rsidRDefault="006421DF" w:rsidP="00BE6F89">
          <w:pPr>
            <w:pStyle w:val="Header"/>
            <w:jc w:val="right"/>
            <w:rPr>
              <w:lang w:val="en-CA"/>
            </w:rPr>
          </w:pPr>
          <w:r>
            <w:t xml:space="preserve">No 5  </w:t>
          </w:r>
          <w:r>
            <w:rPr>
              <w:lang w:val="en-CA"/>
            </w:rPr>
            <w:t xml:space="preserve">|  </w:t>
          </w:r>
          <w:r>
            <w:rPr>
              <w:lang w:val="en-CA"/>
            </w:rPr>
            <w:sym w:font="Wingdings" w:char="F058"/>
          </w:r>
          <w:r>
            <w:rPr>
              <w:lang w:val="en-CA"/>
            </w:rPr>
            <w:t xml:space="preserve"> S.P.</w:t>
          </w:r>
        </w:p>
      </w:tc>
    </w:tr>
  </w:tbl>
  <w:p w:rsidR="006421DF" w:rsidRDefault="006421DF">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8195"/>
  </w:hdrShapeDefaults>
  <w:footnotePr>
    <w:footnote w:id="-1"/>
    <w:footnote w:id="0"/>
  </w:footnotePr>
  <w:endnotePr>
    <w:endnote w:id="-1"/>
    <w:endnote w:id="0"/>
  </w:endnotePr>
  <w:compat/>
  <w:rsids>
    <w:rsidRoot w:val="003E413F"/>
    <w:rsid w:val="000B592E"/>
    <w:rsid w:val="00105604"/>
    <w:rsid w:val="00170904"/>
    <w:rsid w:val="002314BF"/>
    <w:rsid w:val="00264ACA"/>
    <w:rsid w:val="00305A1F"/>
    <w:rsid w:val="003A1246"/>
    <w:rsid w:val="003B6086"/>
    <w:rsid w:val="003E34D4"/>
    <w:rsid w:val="003E413F"/>
    <w:rsid w:val="004D73FE"/>
    <w:rsid w:val="005316F1"/>
    <w:rsid w:val="005C33C7"/>
    <w:rsid w:val="005E06E2"/>
    <w:rsid w:val="005E217A"/>
    <w:rsid w:val="006421DF"/>
    <w:rsid w:val="00737F2B"/>
    <w:rsid w:val="008700F2"/>
    <w:rsid w:val="00920CAF"/>
    <w:rsid w:val="00967157"/>
    <w:rsid w:val="00A3494D"/>
    <w:rsid w:val="00A97360"/>
    <w:rsid w:val="00BE6F89"/>
    <w:rsid w:val="00BF3A5B"/>
    <w:rsid w:val="00C23045"/>
    <w:rsid w:val="00C26A41"/>
    <w:rsid w:val="00C55AED"/>
    <w:rsid w:val="00C65A54"/>
    <w:rsid w:val="00CA0452"/>
    <w:rsid w:val="00CB1517"/>
    <w:rsid w:val="00D231D3"/>
    <w:rsid w:val="00E17CB2"/>
    <w:rsid w:val="00E6064D"/>
    <w:rsid w:val="00E752B6"/>
    <w:rsid w:val="00EE41EA"/>
    <w:rsid w:val="00FE067E"/>
    <w:rsid w:val="00FE256F"/>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819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16F1"/>
    <w:pPr>
      <w:spacing w:after="80" w:line="264" w:lineRule="auto"/>
      <w:jc w:val="both"/>
    </w:pPr>
    <w:rPr>
      <w:rFont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413F"/>
    <w:pPr>
      <w:tabs>
        <w:tab w:val="center" w:pos="4320"/>
        <w:tab w:val="right" w:pos="8640"/>
      </w:tabs>
    </w:pPr>
  </w:style>
  <w:style w:type="character" w:customStyle="1" w:styleId="HeaderChar">
    <w:name w:val="Header Char"/>
    <w:basedOn w:val="DefaultParagraphFont"/>
    <w:link w:val="Header"/>
    <w:uiPriority w:val="99"/>
    <w:rsid w:val="003E413F"/>
  </w:style>
  <w:style w:type="paragraph" w:styleId="Footer">
    <w:name w:val="footer"/>
    <w:basedOn w:val="Normal"/>
    <w:link w:val="FooterChar"/>
    <w:uiPriority w:val="99"/>
    <w:unhideWhenUsed/>
    <w:rsid w:val="003E413F"/>
    <w:pPr>
      <w:tabs>
        <w:tab w:val="center" w:pos="4320"/>
        <w:tab w:val="right" w:pos="8640"/>
      </w:tabs>
    </w:pPr>
  </w:style>
  <w:style w:type="character" w:customStyle="1" w:styleId="FooterChar">
    <w:name w:val="Footer Char"/>
    <w:basedOn w:val="DefaultParagraphFont"/>
    <w:link w:val="Footer"/>
    <w:uiPriority w:val="99"/>
    <w:rsid w:val="003E413F"/>
  </w:style>
  <w:style w:type="table" w:styleId="TableGrid">
    <w:name w:val="Table Grid"/>
    <w:basedOn w:val="TableNormal"/>
    <w:uiPriority w:val="59"/>
    <w:rsid w:val="003E41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1">
    <w:name w:val="_001"/>
    <w:basedOn w:val="Normal"/>
    <w:qFormat/>
    <w:rsid w:val="00A97360"/>
    <w:pPr>
      <w:spacing w:after="0" w:line="240" w:lineRule="auto"/>
      <w:jc w:val="center"/>
    </w:pPr>
    <w:rPr>
      <w:i/>
      <w:sz w:val="22"/>
      <w:lang w:val="en-CA"/>
    </w:rPr>
  </w:style>
  <w:style w:type="paragraph" w:styleId="BalloonText">
    <w:name w:val="Balloon Text"/>
    <w:basedOn w:val="Normal"/>
    <w:link w:val="BalloonTextChar"/>
    <w:uiPriority w:val="99"/>
    <w:semiHidden/>
    <w:unhideWhenUsed/>
    <w:rsid w:val="00920C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CAF"/>
    <w:rPr>
      <w:rFonts w:ascii="Tahoma" w:hAnsi="Tahoma" w:cs="Tahoma"/>
      <w:sz w:val="16"/>
      <w:szCs w:val="16"/>
    </w:rPr>
  </w:style>
  <w:style w:type="character" w:styleId="Hyperlink">
    <w:name w:val="Hyperlink"/>
    <w:basedOn w:val="DefaultParagraphFont"/>
    <w:uiPriority w:val="99"/>
    <w:rsid w:val="00C65A54"/>
    <w:rPr>
      <w:rFonts w:cs="Times New Roman"/>
      <w:color w:val="0000FF"/>
      <w:u w:val="single"/>
    </w:rPr>
  </w:style>
  <w:style w:type="paragraph" w:styleId="NormalWeb">
    <w:name w:val="Normal (Web)"/>
    <w:basedOn w:val="Normal"/>
    <w:uiPriority w:val="99"/>
    <w:semiHidden/>
    <w:unhideWhenUsed/>
    <w:rsid w:val="00BE6F89"/>
    <w:pPr>
      <w:spacing w:before="100" w:beforeAutospacing="1" w:after="100" w:afterAutospacing="1" w:line="240" w:lineRule="auto"/>
      <w:jc w:val="left"/>
    </w:pPr>
    <w:rPr>
      <w:rFonts w:ascii="Times New Roman" w:eastAsia="Times New Roman" w:hAnsi="Times New Roman"/>
      <w:color w:val="000000"/>
      <w:lang w:eastAsia="fr-C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annusfidei.v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3F908F-C9D3-41F4-8DDE-923DCEC49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544</Words>
  <Characters>2993</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seceveque</dc:creator>
  <cp:lastModifiedBy>seceveque</cp:lastModifiedBy>
  <cp:revision>3</cp:revision>
  <cp:lastPrinted>2013-07-15T15:44:00Z</cp:lastPrinted>
  <dcterms:created xsi:type="dcterms:W3CDTF">2013-07-15T15:31:00Z</dcterms:created>
  <dcterms:modified xsi:type="dcterms:W3CDTF">2013-07-15T15:46:00Z</dcterms:modified>
</cp:coreProperties>
</file>