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4A1" w:rsidRDefault="006C64A1" w:rsidP="006C64A1">
      <w:pPr>
        <w:jc w:val="both"/>
      </w:pPr>
    </w:p>
    <w:p w:rsidR="006C64A1" w:rsidRDefault="006C64A1" w:rsidP="006C64A1">
      <w:pPr>
        <w:jc w:val="both"/>
      </w:pPr>
      <w:r>
        <w:tab/>
        <w:t>La fête de Noël approche à grands pas, comme le rappellent les décorations et les nombreux préparatifs qui nous accaparent. En tant que catholiques, nous sommes invités à ne pas oublier l’essentiel : la célébration de la naissance du Seigneur Jésus. Lors de sa venue à Bethléem, ses parents n’avaient pas trouvé de logis et avaient dû se réfugier dans une étable; aujourd’hui nous pouvons accueillir le Seigneur en lui préparant dans nos cœurs une demeure digne de lui. A cet effet, le Sacrement de Pénitence ou du Pardon constitue une ressource fondamentale.</w:t>
      </w:r>
    </w:p>
    <w:p w:rsidR="006C64A1" w:rsidRDefault="006C64A1" w:rsidP="006C64A1">
      <w:pPr>
        <w:jc w:val="both"/>
      </w:pPr>
    </w:p>
    <w:p w:rsidR="006C64A1" w:rsidRDefault="006C64A1" w:rsidP="006C64A1">
      <w:pPr>
        <w:jc w:val="both"/>
      </w:pPr>
      <w:r>
        <w:tab/>
        <w:t xml:space="preserve">Chers diocésaines et diocésains, je vous invite à redécouvrir et à célébrer le Sacrement du Pardon comme </w:t>
      </w:r>
      <w:r w:rsidRPr="007478C0">
        <w:rPr>
          <w:u w:val="single"/>
        </w:rPr>
        <w:t>rencontre personnelle</w:t>
      </w:r>
      <w:r w:rsidRPr="007478C0">
        <w:t xml:space="preserve"> avec </w:t>
      </w:r>
      <w:r>
        <w:t xml:space="preserve">le Seigneur dans la personne de son </w:t>
      </w:r>
      <w:r w:rsidRPr="007478C0">
        <w:t>prêtre.</w:t>
      </w:r>
      <w:r>
        <w:t xml:space="preserve"> </w:t>
      </w:r>
      <w:r w:rsidRPr="009F7509">
        <w:t xml:space="preserve">Jésus rencontrait </w:t>
      </w:r>
      <w:r>
        <w:t xml:space="preserve">en effet </w:t>
      </w:r>
      <w:r w:rsidRPr="009F7509">
        <w:t xml:space="preserve">les gens </w:t>
      </w:r>
      <w:r>
        <w:t>de manière personnelle</w:t>
      </w:r>
      <w:r w:rsidRPr="009F7509">
        <w:t> : Madele</w:t>
      </w:r>
      <w:r>
        <w:t>ine n’est pas Pierre ou Zachée. L’Église prolonge l’attitude de Jésus</w:t>
      </w:r>
      <w:r w:rsidRPr="009F7509">
        <w:t xml:space="preserve"> </w:t>
      </w:r>
      <w:r>
        <w:t>en administrant</w:t>
      </w:r>
      <w:r w:rsidRPr="009F7509">
        <w:t xml:space="preserve"> les sacrements à </w:t>
      </w:r>
      <w:r w:rsidRPr="009F7509">
        <w:rPr>
          <w:u w:val="single"/>
        </w:rPr>
        <w:t>chaque personne</w:t>
      </w:r>
      <w:r>
        <w:t> individuellement, car</w:t>
      </w:r>
      <w:r w:rsidRPr="009F7509">
        <w:t xml:space="preserve"> chacune est unique. </w:t>
      </w:r>
    </w:p>
    <w:p w:rsidR="006C64A1" w:rsidRDefault="006C64A1" w:rsidP="006C64A1">
      <w:pPr>
        <w:ind w:firstLine="708"/>
        <w:jc w:val="both"/>
      </w:pPr>
    </w:p>
    <w:p w:rsidR="006C64A1" w:rsidRPr="009F7509" w:rsidRDefault="006C64A1" w:rsidP="006C64A1">
      <w:pPr>
        <w:ind w:firstLine="708"/>
        <w:jc w:val="both"/>
      </w:pPr>
      <w:r w:rsidRPr="009F7509">
        <w:t xml:space="preserve">Notre époque est sensible aux relations interpersonnelles, au service personnalisé : avec le </w:t>
      </w:r>
      <w:r>
        <w:t>S</w:t>
      </w:r>
      <w:r w:rsidRPr="009F7509">
        <w:t xml:space="preserve">acrement du </w:t>
      </w:r>
      <w:r>
        <w:t>P</w:t>
      </w:r>
      <w:r w:rsidRPr="009F7509">
        <w:t xml:space="preserve">ardon, nous disposons d’une possibilité exceptionnelle pour </w:t>
      </w:r>
      <w:r>
        <w:t>toucher ce</w:t>
      </w:r>
      <w:r w:rsidRPr="009F7509">
        <w:t xml:space="preserve"> qui constitue la réalité la plus intime de </w:t>
      </w:r>
      <w:r>
        <w:t>nos vies</w:t>
      </w:r>
      <w:r w:rsidRPr="009F7509">
        <w:t xml:space="preserve">, </w:t>
      </w:r>
      <w:r>
        <w:t>leur trame</w:t>
      </w:r>
      <w:r w:rsidRPr="009F7509">
        <w:t xml:space="preserve"> fondamentale.</w:t>
      </w:r>
    </w:p>
    <w:p w:rsidR="006C64A1" w:rsidRDefault="006C64A1" w:rsidP="006C64A1">
      <w:pPr>
        <w:jc w:val="both"/>
      </w:pPr>
    </w:p>
    <w:p w:rsidR="006C64A1" w:rsidRPr="009F7509" w:rsidRDefault="006C64A1" w:rsidP="006C64A1">
      <w:pPr>
        <w:ind w:firstLine="708"/>
        <w:jc w:val="both"/>
      </w:pPr>
      <w:r w:rsidRPr="009F7509">
        <w:rPr>
          <w:u w:val="single"/>
        </w:rPr>
        <w:t>Le prêtre exerce</w:t>
      </w:r>
      <w:r>
        <w:rPr>
          <w:u w:val="single"/>
        </w:rPr>
        <w:t xml:space="preserve"> en fait </w:t>
      </w:r>
      <w:r w:rsidRPr="009F7509">
        <w:rPr>
          <w:u w:val="single"/>
        </w:rPr>
        <w:t xml:space="preserve"> un ministère similaire à celui du médecin</w:t>
      </w:r>
      <w:r w:rsidRPr="009F7509">
        <w:t xml:space="preserve">, qui ne soigne pas des foules et ne prescrit pas le même médicament à tout le monde. Jésus lui-même </w:t>
      </w:r>
      <w:r>
        <w:t>évoque</w:t>
      </w:r>
      <w:r w:rsidRPr="009F7509">
        <w:t xml:space="preserve"> cette ressemblance :</w:t>
      </w:r>
      <w:r w:rsidRPr="009F7509">
        <w:rPr>
          <w:rFonts w:eastAsia="Times New Roman"/>
          <w:i/>
          <w:lang w:eastAsia="fr-CA"/>
        </w:rPr>
        <w:t xml:space="preserve"> « Ce ne sont pas les gens bien portants qui ont besoin du médecin, mais les malades…. Car je suis venu appeler non pas les justes, mais les pécheurs </w:t>
      </w:r>
      <w:r w:rsidRPr="009F7509">
        <w:rPr>
          <w:rFonts w:eastAsia="Times New Roman"/>
          <w:lang w:eastAsia="fr-CA"/>
        </w:rPr>
        <w:t xml:space="preserve">» (Mt 9, 10-13). Le canon 978 § 1 reprend la même perspective : « </w:t>
      </w:r>
      <w:r w:rsidRPr="009F7509">
        <w:rPr>
          <w:rFonts w:eastAsia="Times New Roman"/>
          <w:i/>
          <w:lang w:eastAsia="fr-CA"/>
        </w:rPr>
        <w:t>Que le prêtre se souvienne, en entendant les confessions, que son rôle est à la fois celui d’un juge et celui d’un médecin, et qu’il a été constitué par Dieu ministre aussi bien de la miséricorde que de la justice divine, pour veiller à l’honneur de Dieu et au salut des âmes</w:t>
      </w:r>
      <w:r w:rsidRPr="009F7509">
        <w:rPr>
          <w:rFonts w:eastAsia="Times New Roman"/>
          <w:lang w:eastAsia="fr-CA"/>
        </w:rPr>
        <w:t xml:space="preserve"> ». </w:t>
      </w:r>
    </w:p>
    <w:p w:rsidR="006C64A1" w:rsidRDefault="006C64A1" w:rsidP="006C64A1">
      <w:pPr>
        <w:pStyle w:val="ListParagraph"/>
      </w:pPr>
    </w:p>
    <w:p w:rsidR="006C64A1" w:rsidRPr="009F7509" w:rsidRDefault="006C64A1" w:rsidP="006C64A1">
      <w:pPr>
        <w:ind w:firstLine="708"/>
        <w:jc w:val="both"/>
      </w:pPr>
      <w:r w:rsidRPr="009F7509">
        <w:lastRenderedPageBreak/>
        <w:t xml:space="preserve">Le médecin croit la </w:t>
      </w:r>
      <w:r w:rsidRPr="009F7509">
        <w:rPr>
          <w:u w:val="single"/>
        </w:rPr>
        <w:t>santé</w:t>
      </w:r>
      <w:r w:rsidRPr="009F7509">
        <w:t xml:space="preserve"> possible et il aide la personne à la r</w:t>
      </w:r>
      <w:r>
        <w:t>etrouve</w:t>
      </w:r>
      <w:r w:rsidRPr="009F7509">
        <w:t xml:space="preserve">r; le prêtre croit à la </w:t>
      </w:r>
      <w:r w:rsidRPr="009F7509">
        <w:rPr>
          <w:u w:val="single"/>
        </w:rPr>
        <w:t>sainteté</w:t>
      </w:r>
      <w:r w:rsidRPr="009F7509">
        <w:t xml:space="preserve"> et il aide ses frères et sœurs à y parvenir.</w:t>
      </w:r>
    </w:p>
    <w:p w:rsidR="006C64A1" w:rsidRDefault="006C64A1" w:rsidP="006C64A1">
      <w:pPr>
        <w:jc w:val="both"/>
      </w:pPr>
    </w:p>
    <w:p w:rsidR="006C64A1" w:rsidRPr="009F7509" w:rsidRDefault="006C64A1" w:rsidP="006C64A1">
      <w:pPr>
        <w:ind w:firstLine="708"/>
        <w:jc w:val="both"/>
      </w:pPr>
      <w:r w:rsidRPr="009F7509">
        <w:t xml:space="preserve">Lorsqu’il rencontre le médecin, le malade lui soumet ses problèmes, décrit les symptômes de son malaise; le médecin pose un jugement, un diagnostic : il identifie la maladie; il peut par la suite prescrire le médicament requis, proposer une intervention chirurgicale ou encore recommander un régime particulier ou des changements d’habitude; le médecin ne peut rien toutefois si le malade ne répond pas à ses propositions. </w:t>
      </w:r>
    </w:p>
    <w:p w:rsidR="006C64A1" w:rsidRDefault="006C64A1" w:rsidP="006C64A1">
      <w:pPr>
        <w:pStyle w:val="ListParagraph"/>
      </w:pPr>
    </w:p>
    <w:p w:rsidR="006C64A1" w:rsidRDefault="006C64A1" w:rsidP="006C64A1">
      <w:pPr>
        <w:ind w:firstLine="708"/>
        <w:jc w:val="both"/>
      </w:pPr>
      <w:r w:rsidRPr="009F7509">
        <w:t xml:space="preserve">Le prêtre </w:t>
      </w:r>
      <w:r>
        <w:t>agit de la même manière.</w:t>
      </w:r>
      <w:r w:rsidRPr="009F7509">
        <w:t xml:space="preserve"> </w:t>
      </w:r>
      <w:r>
        <w:t>La</w:t>
      </w:r>
      <w:r w:rsidRPr="009F7509">
        <w:t xml:space="preserve"> personne </w:t>
      </w:r>
      <w:r>
        <w:t xml:space="preserve">lui </w:t>
      </w:r>
      <w:r w:rsidRPr="009F7509">
        <w:t xml:space="preserve">expose ses difficultés à vivre l’Évangile; elle fait ainsi la vérité sur elle-même; le prêtre propose un chemin de conversion, d’approfondissement du lien avec le Seigneur, en vue d’une plus grande cohérence de vie. </w:t>
      </w:r>
    </w:p>
    <w:p w:rsidR="006C64A1" w:rsidRDefault="006C64A1" w:rsidP="006C64A1">
      <w:pPr>
        <w:ind w:firstLine="708"/>
        <w:jc w:val="both"/>
      </w:pPr>
    </w:p>
    <w:p w:rsidR="006C64A1" w:rsidRDefault="006C64A1" w:rsidP="006C64A1">
      <w:pPr>
        <w:ind w:firstLine="708"/>
        <w:jc w:val="both"/>
      </w:pPr>
      <w:r w:rsidRPr="009F7509">
        <w:t xml:space="preserve">La grande intervention thérapeutique, c’est la grâce du </w:t>
      </w:r>
      <w:r>
        <w:t>S</w:t>
      </w:r>
      <w:r w:rsidRPr="009F7509">
        <w:t xml:space="preserve">acrement du </w:t>
      </w:r>
      <w:r>
        <w:t>P</w:t>
      </w:r>
      <w:r w:rsidRPr="009F7509">
        <w:t xml:space="preserve">ardon par laquelle le Seigneur communique son amour qui va au-delà de la faute et relance vers une vie meilleure.  </w:t>
      </w:r>
    </w:p>
    <w:p w:rsidR="006C64A1" w:rsidRDefault="006C64A1" w:rsidP="006C64A1">
      <w:pPr>
        <w:ind w:firstLine="708"/>
        <w:jc w:val="both"/>
      </w:pPr>
    </w:p>
    <w:p w:rsidR="006C64A1" w:rsidRDefault="006C64A1" w:rsidP="006C64A1">
      <w:pPr>
        <w:ind w:firstLine="708"/>
        <w:jc w:val="both"/>
      </w:pPr>
      <w:r>
        <w:t>Puisse ce temps de l’Avent et de préparation spirituelle à Noël nous faire goûter les grâces de miséricorde que le Seigneur nous offre.</w:t>
      </w:r>
    </w:p>
    <w:p w:rsidR="006C64A1" w:rsidRDefault="006C64A1" w:rsidP="006C64A1">
      <w:pPr>
        <w:ind w:firstLine="708"/>
        <w:jc w:val="both"/>
      </w:pPr>
    </w:p>
    <w:p w:rsidR="006C64A1" w:rsidRDefault="006C64A1" w:rsidP="006C64A1">
      <w:pPr>
        <w:ind w:firstLine="708"/>
        <w:jc w:val="both"/>
      </w:pPr>
    </w:p>
    <w:p w:rsidR="006C64A1" w:rsidRDefault="006C64A1" w:rsidP="00591B3E">
      <w:pPr>
        <w:ind w:firstLine="708"/>
        <w:jc w:val="center"/>
      </w:pPr>
    </w:p>
    <w:p w:rsidR="006C64A1" w:rsidRDefault="00591B3E" w:rsidP="00591B3E">
      <w:pPr>
        <w:ind w:left="2832" w:firstLine="708"/>
      </w:pPr>
      <w:r>
        <w:t xml:space="preserve">    </w:t>
      </w:r>
      <w:r w:rsidR="006C64A1">
        <w:sym w:font="Wingdings" w:char="F058"/>
      </w:r>
      <w:r w:rsidR="006C64A1">
        <w:t xml:space="preserve">  Serge Poitras</w:t>
      </w:r>
    </w:p>
    <w:p w:rsidR="006C64A1" w:rsidRPr="009F7509" w:rsidRDefault="00591B3E" w:rsidP="00591B3E">
      <w:pPr>
        <w:ind w:left="2832" w:firstLine="708"/>
      </w:pPr>
      <w:r>
        <w:t xml:space="preserve">    </w:t>
      </w:r>
      <w:r w:rsidR="006C64A1">
        <w:t>Évêque de Timmins</w:t>
      </w:r>
    </w:p>
    <w:p w:rsidR="006C64A1" w:rsidRDefault="006C64A1" w:rsidP="006C64A1">
      <w:pPr>
        <w:pStyle w:val="ListParagraph"/>
      </w:pPr>
    </w:p>
    <w:p w:rsidR="004247BD" w:rsidRDefault="004247BD" w:rsidP="004247BD">
      <w:pPr>
        <w:jc w:val="center"/>
      </w:pPr>
    </w:p>
    <w:p w:rsidR="004247BD" w:rsidRDefault="004247BD" w:rsidP="00591B3E">
      <w:pPr>
        <w:jc w:val="center"/>
      </w:pPr>
      <w:r>
        <w:t xml:space="preserve">Fête de Saint </w:t>
      </w:r>
      <w:r w:rsidR="006C64A1">
        <w:t>André</w:t>
      </w:r>
      <w:r w:rsidR="0095526D">
        <w:t xml:space="preserve">, </w:t>
      </w:r>
      <w:r w:rsidR="006C64A1">
        <w:t>apôtre</w:t>
      </w:r>
    </w:p>
    <w:p w:rsidR="004247BD" w:rsidRPr="00B937F5" w:rsidRDefault="004247BD" w:rsidP="004247BD">
      <w:pPr>
        <w:jc w:val="center"/>
      </w:pPr>
    </w:p>
    <w:p w:rsidR="00C65A54" w:rsidRPr="00652A9C" w:rsidRDefault="00C65A54">
      <w:pPr>
        <w:spacing w:after="0" w:line="240" w:lineRule="auto"/>
      </w:pPr>
    </w:p>
    <w:p w:rsidR="00C65A54" w:rsidRPr="00652A9C" w:rsidRDefault="00C65A54">
      <w:pPr>
        <w:spacing w:after="0" w:line="240" w:lineRule="auto"/>
      </w:pPr>
    </w:p>
    <w:p w:rsidR="00C65A54" w:rsidRPr="00652A9C" w:rsidRDefault="00C65A54">
      <w:pPr>
        <w:spacing w:after="0" w:line="240" w:lineRule="auto"/>
        <w:sectPr w:rsidR="00C65A54" w:rsidRPr="00652A9C" w:rsidSect="00F91984">
          <w:footerReference w:type="default" r:id="rId8"/>
          <w:headerReference w:type="first" r:id="rId9"/>
          <w:footerReference w:type="first" r:id="rId10"/>
          <w:pgSz w:w="12240" w:h="15840"/>
          <w:pgMar w:top="2246" w:right="1440" w:bottom="1260" w:left="1440" w:header="576" w:footer="432" w:gutter="0"/>
          <w:cols w:space="708"/>
          <w:titlePg/>
          <w:docGrid w:linePitch="360"/>
        </w:sectPr>
      </w:pPr>
    </w:p>
    <w:p w:rsidR="00305A1F" w:rsidRPr="00652A9C" w:rsidRDefault="00C65A54" w:rsidP="006C64A1">
      <w:r w:rsidRPr="00652A9C">
        <w:rPr>
          <w:b/>
          <w:sz w:val="28"/>
          <w:szCs w:val="28"/>
        </w:rPr>
        <w:lastRenderedPageBreak/>
        <w:t xml:space="preserve"> </w:t>
      </w:r>
    </w:p>
    <w:p w:rsidR="00305A1F" w:rsidRPr="00652A9C" w:rsidRDefault="00305A1F" w:rsidP="00305A1F">
      <w:pPr>
        <w:jc w:val="both"/>
      </w:pPr>
    </w:p>
    <w:p w:rsidR="00305A1F" w:rsidRPr="00652A9C" w:rsidRDefault="00305A1F" w:rsidP="00305A1F">
      <w:pPr>
        <w:jc w:val="center"/>
      </w:pPr>
    </w:p>
    <w:sectPr w:rsidR="00305A1F" w:rsidRPr="00652A9C" w:rsidSect="00C65A54">
      <w:headerReference w:type="default" r:id="rId11"/>
      <w:type w:val="continuous"/>
      <w:pgSz w:w="12240" w:h="15840"/>
      <w:pgMar w:top="2246" w:right="1440" w:bottom="1440" w:left="1440" w:header="1440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B3E" w:rsidRDefault="00591B3E" w:rsidP="003E413F">
      <w:r>
        <w:separator/>
      </w:r>
    </w:p>
  </w:endnote>
  <w:endnote w:type="continuationSeparator" w:id="0">
    <w:p w:rsidR="00591B3E" w:rsidRDefault="00591B3E" w:rsidP="003E4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36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4680"/>
    </w:tblGrid>
    <w:tr w:rsidR="00591B3E" w:rsidTr="00737F2B">
      <w:trPr>
        <w:jc w:val="center"/>
      </w:trPr>
      <w:tc>
        <w:tcPr>
          <w:tcW w:w="4680" w:type="dxa"/>
        </w:tcPr>
        <w:p w:rsidR="00591B3E" w:rsidRDefault="00591B3E" w:rsidP="006C64A1">
          <w:pPr>
            <w:pStyle w:val="Footer"/>
          </w:pPr>
          <w:r>
            <w:t>30/11/2013</w:t>
          </w:r>
        </w:p>
      </w:tc>
      <w:tc>
        <w:tcPr>
          <w:tcW w:w="4680" w:type="dxa"/>
        </w:tcPr>
        <w:p w:rsidR="00591B3E" w:rsidRDefault="00591B3E" w:rsidP="00737F2B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944A8F" w:rsidRPr="00944A8F">
              <w:rPr>
                <w:b/>
                <w:noProof/>
              </w:rPr>
              <w:t>2</w:t>
            </w:r>
          </w:fldSimple>
        </w:p>
      </w:tc>
    </w:tr>
  </w:tbl>
  <w:p w:rsidR="00591B3E" w:rsidRDefault="00591B3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36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4680"/>
    </w:tblGrid>
    <w:tr w:rsidR="00591B3E" w:rsidTr="00001AC6">
      <w:trPr>
        <w:jc w:val="center"/>
      </w:trPr>
      <w:tc>
        <w:tcPr>
          <w:tcW w:w="4680" w:type="dxa"/>
        </w:tcPr>
        <w:p w:rsidR="00591B3E" w:rsidRDefault="00591B3E" w:rsidP="006C64A1">
          <w:pPr>
            <w:pStyle w:val="Footer"/>
          </w:pPr>
          <w:r>
            <w:t>30/11/2013</w:t>
          </w:r>
        </w:p>
      </w:tc>
      <w:tc>
        <w:tcPr>
          <w:tcW w:w="4680" w:type="dxa"/>
        </w:tcPr>
        <w:p w:rsidR="00591B3E" w:rsidRDefault="00591B3E" w:rsidP="00001AC6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944A8F" w:rsidRPr="00944A8F">
              <w:rPr>
                <w:b/>
                <w:noProof/>
              </w:rPr>
              <w:t>1</w:t>
            </w:r>
          </w:fldSimple>
        </w:p>
      </w:tc>
    </w:tr>
  </w:tbl>
  <w:p w:rsidR="00591B3E" w:rsidRDefault="00591B3E" w:rsidP="00001AC6">
    <w:pPr>
      <w:pStyle w:val="Footer"/>
    </w:pPr>
  </w:p>
  <w:p w:rsidR="00591B3E" w:rsidRDefault="00591B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B3E" w:rsidRDefault="00591B3E" w:rsidP="003E413F">
      <w:r>
        <w:separator/>
      </w:r>
    </w:p>
  </w:footnote>
  <w:footnote w:type="continuationSeparator" w:id="0">
    <w:p w:rsidR="00591B3E" w:rsidRDefault="00591B3E" w:rsidP="003E4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B3E" w:rsidRPr="009F142B" w:rsidRDefault="00591B3E" w:rsidP="00F91984">
    <w:pPr>
      <w:pStyle w:val="Header"/>
      <w:rPr>
        <w:lang w:val="en-CA"/>
      </w:rPr>
    </w:pPr>
    <w:r>
      <w:rPr>
        <w:noProof/>
        <w:lang w:eastAsia="fr-CA"/>
      </w:rPr>
      <w:drawing>
        <wp:inline distT="0" distB="0" distL="0" distR="0">
          <wp:extent cx="1300867" cy="1367850"/>
          <wp:effectExtent l="19050" t="0" r="0" b="0"/>
          <wp:docPr id="1" name="Picture 1" descr="LOGO-DIOCES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CES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3483" cy="1370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</w:t>
    </w:r>
    <w:r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i1025" type="#_x0000_t156" style="width:165pt;height:66pt" fillcolor="black [3213]" strokecolor="black [3213]">
          <v:fill color2="#099" focus="100%" type="gradient"/>
          <v:shadow on="t" color="silver" opacity="52429f" offset="3pt,3pt"/>
          <v:textpath style="font-family:&quot;Times New Roman&quot;;v-text-kern:t" trim="t" fitpath="t" xscale="f" string="Infofax"/>
        </v:shape>
      </w:pict>
    </w:r>
    <w:r>
      <w:ptab w:relativeTo="margin" w:alignment="right" w:leader="none"/>
    </w:r>
    <w:r>
      <w:object w:dxaOrig="7368" w:dyaOrig="10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8pt;height:114pt" o:ole="">
          <v:imagedata r:id="rId2" o:title=""/>
        </v:shape>
        <o:OLEObject Type="Embed" ProgID="AcroExch.Document.11" ShapeID="_x0000_i1026" DrawAspect="Content" ObjectID="_1447139920" r:id="rId3"/>
      </w:object>
    </w:r>
  </w:p>
  <w:p w:rsidR="00591B3E" w:rsidRDefault="00591B3E" w:rsidP="00F91984"/>
  <w:tbl>
    <w:tblPr>
      <w:tblStyle w:val="TableGrid"/>
      <w:tblW w:w="0" w:type="auto"/>
      <w:jc w:val="center"/>
      <w:tblLook w:val="04A0"/>
    </w:tblPr>
    <w:tblGrid>
      <w:gridCol w:w="4486"/>
      <w:gridCol w:w="5090"/>
    </w:tblGrid>
    <w:tr w:rsidR="00591B3E" w:rsidTr="00F91984">
      <w:trPr>
        <w:trHeight w:val="288"/>
        <w:jc w:val="center"/>
      </w:trPr>
      <w:tc>
        <w:tcPr>
          <w:tcW w:w="4486" w:type="dxa"/>
          <w:tcBorders>
            <w:left w:val="nil"/>
            <w:right w:val="nil"/>
          </w:tcBorders>
        </w:tcPr>
        <w:p w:rsidR="00591B3E" w:rsidRPr="003E413F" w:rsidRDefault="00591B3E" w:rsidP="00F91984">
          <w:pPr>
            <w:pStyle w:val="Header"/>
          </w:pPr>
          <w:r>
            <w:t>Dioc</w:t>
          </w:r>
          <w:r w:rsidRPr="003E413F">
            <w:t>èse de Timmins  /  Diocese of Timmins</w:t>
          </w:r>
        </w:p>
      </w:tc>
      <w:tc>
        <w:tcPr>
          <w:tcW w:w="5090" w:type="dxa"/>
          <w:tcBorders>
            <w:left w:val="nil"/>
            <w:right w:val="nil"/>
          </w:tcBorders>
        </w:tcPr>
        <w:p w:rsidR="00591B3E" w:rsidRPr="003E413F" w:rsidRDefault="00591B3E" w:rsidP="006C64A1">
          <w:pPr>
            <w:pStyle w:val="Header"/>
            <w:jc w:val="right"/>
            <w:rPr>
              <w:lang w:val="en-CA"/>
            </w:rPr>
          </w:pPr>
          <w:r>
            <w:t xml:space="preserve">No 12  </w:t>
          </w:r>
          <w:r>
            <w:rPr>
              <w:lang w:val="en-CA"/>
            </w:rPr>
            <w:t xml:space="preserve">| 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591B3E" w:rsidRDefault="00591B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Look w:val="04A0"/>
    </w:tblPr>
    <w:tblGrid>
      <w:gridCol w:w="4486"/>
      <w:gridCol w:w="5090"/>
    </w:tblGrid>
    <w:tr w:rsidR="00591B3E" w:rsidTr="00920CAF">
      <w:trPr>
        <w:trHeight w:val="288"/>
        <w:jc w:val="center"/>
      </w:trPr>
      <w:tc>
        <w:tcPr>
          <w:tcW w:w="4486" w:type="dxa"/>
          <w:tcBorders>
            <w:left w:val="nil"/>
            <w:right w:val="nil"/>
          </w:tcBorders>
        </w:tcPr>
        <w:p w:rsidR="00591B3E" w:rsidRPr="003E413F" w:rsidRDefault="00591B3E">
          <w:pPr>
            <w:pStyle w:val="Header"/>
          </w:pPr>
          <w:r>
            <w:t xml:space="preserve"> Dioc</w:t>
          </w:r>
          <w:r w:rsidRPr="003E413F">
            <w:t>èse de Timmins  /  Diocese of Timmins</w:t>
          </w:r>
        </w:p>
      </w:tc>
      <w:tc>
        <w:tcPr>
          <w:tcW w:w="5090" w:type="dxa"/>
          <w:tcBorders>
            <w:left w:val="nil"/>
            <w:right w:val="nil"/>
          </w:tcBorders>
        </w:tcPr>
        <w:p w:rsidR="00591B3E" w:rsidRPr="003E413F" w:rsidRDefault="00591B3E" w:rsidP="00264ACA">
          <w:pPr>
            <w:pStyle w:val="Header"/>
            <w:jc w:val="right"/>
            <w:rPr>
              <w:lang w:val="en-CA"/>
            </w:rPr>
          </w:pPr>
          <w:r>
            <w:t xml:space="preserve">No 4  </w:t>
          </w:r>
          <w:r>
            <w:rPr>
              <w:lang w:val="en-CA"/>
            </w:rPr>
            <w:t xml:space="preserve">| 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591B3E" w:rsidRDefault="00591B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D43EF"/>
    <w:multiLevelType w:val="hybridMultilevel"/>
    <w:tmpl w:val="286E7E22"/>
    <w:lvl w:ilvl="0" w:tplc="894A6BE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617E9"/>
    <w:multiLevelType w:val="hybridMultilevel"/>
    <w:tmpl w:val="3CC6C6BC"/>
    <w:lvl w:ilvl="0" w:tplc="E068A2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/>
  <w:rsids>
    <w:rsidRoot w:val="003E413F"/>
    <w:rsid w:val="00001AC6"/>
    <w:rsid w:val="000B592E"/>
    <w:rsid w:val="00105604"/>
    <w:rsid w:val="00170904"/>
    <w:rsid w:val="001D40A6"/>
    <w:rsid w:val="0022194E"/>
    <w:rsid w:val="002314BF"/>
    <w:rsid w:val="00264ACA"/>
    <w:rsid w:val="00305A1F"/>
    <w:rsid w:val="00361EB4"/>
    <w:rsid w:val="003A1246"/>
    <w:rsid w:val="003B6086"/>
    <w:rsid w:val="003E34D4"/>
    <w:rsid w:val="003E413F"/>
    <w:rsid w:val="004247BD"/>
    <w:rsid w:val="004D73FE"/>
    <w:rsid w:val="00591B3E"/>
    <w:rsid w:val="005A0106"/>
    <w:rsid w:val="005C33C7"/>
    <w:rsid w:val="005C7A5A"/>
    <w:rsid w:val="005E06E2"/>
    <w:rsid w:val="005E217A"/>
    <w:rsid w:val="00652A9C"/>
    <w:rsid w:val="006772E5"/>
    <w:rsid w:val="006C64A1"/>
    <w:rsid w:val="00737F2B"/>
    <w:rsid w:val="007421FC"/>
    <w:rsid w:val="00744215"/>
    <w:rsid w:val="0081321F"/>
    <w:rsid w:val="008700F2"/>
    <w:rsid w:val="008A51E1"/>
    <w:rsid w:val="00920CAF"/>
    <w:rsid w:val="009279DD"/>
    <w:rsid w:val="00944A8F"/>
    <w:rsid w:val="0095526D"/>
    <w:rsid w:val="009701E3"/>
    <w:rsid w:val="00A11BDC"/>
    <w:rsid w:val="00A451B7"/>
    <w:rsid w:val="00A97360"/>
    <w:rsid w:val="00B171F7"/>
    <w:rsid w:val="00C25E42"/>
    <w:rsid w:val="00C2610E"/>
    <w:rsid w:val="00C311F0"/>
    <w:rsid w:val="00C47FF3"/>
    <w:rsid w:val="00C55AED"/>
    <w:rsid w:val="00C65A54"/>
    <w:rsid w:val="00CA0452"/>
    <w:rsid w:val="00CB1517"/>
    <w:rsid w:val="00D231D3"/>
    <w:rsid w:val="00DA1E16"/>
    <w:rsid w:val="00E17CB2"/>
    <w:rsid w:val="00EE41EA"/>
    <w:rsid w:val="00F312F1"/>
    <w:rsid w:val="00F91984"/>
    <w:rsid w:val="00FE067E"/>
    <w:rsid w:val="00FE10D1"/>
    <w:rsid w:val="00FE2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360"/>
    <w:pPr>
      <w:spacing w:after="80" w:line="264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13F"/>
  </w:style>
  <w:style w:type="paragraph" w:styleId="Footer">
    <w:name w:val="footer"/>
    <w:basedOn w:val="Normal"/>
    <w:link w:val="Foot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13F"/>
  </w:style>
  <w:style w:type="table" w:styleId="TableGrid">
    <w:name w:val="Table Grid"/>
    <w:basedOn w:val="TableNormal"/>
    <w:uiPriority w:val="59"/>
    <w:rsid w:val="003E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1">
    <w:name w:val="_001"/>
    <w:basedOn w:val="Normal"/>
    <w:qFormat/>
    <w:rsid w:val="00A97360"/>
    <w:pPr>
      <w:spacing w:after="0" w:line="240" w:lineRule="auto"/>
      <w:jc w:val="center"/>
    </w:pPr>
    <w:rPr>
      <w:i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A5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01A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3D094-80CB-49BC-8BCE-E3CB114F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seceveque</dc:creator>
  <cp:lastModifiedBy>seceveque</cp:lastModifiedBy>
  <cp:revision>4</cp:revision>
  <cp:lastPrinted>2013-11-28T14:58:00Z</cp:lastPrinted>
  <dcterms:created xsi:type="dcterms:W3CDTF">2013-11-28T14:50:00Z</dcterms:created>
  <dcterms:modified xsi:type="dcterms:W3CDTF">2013-11-28T15:32:00Z</dcterms:modified>
</cp:coreProperties>
</file>