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5EB2B" w14:textId="57B44A8A" w:rsidR="00A70055" w:rsidRDefault="00D62185" w:rsidP="00CB6634">
      <w:pPr>
        <w:spacing w:after="0" w:line="240" w:lineRule="auto"/>
      </w:pPr>
      <w:proofErr w:type="spellStart"/>
      <w:r>
        <w:rPr>
          <w:b/>
          <w:bCs/>
        </w:rPr>
        <w:t>ExComm</w:t>
      </w:r>
      <w:proofErr w:type="spellEnd"/>
      <w:r>
        <w:rPr>
          <w:b/>
          <w:bCs/>
        </w:rPr>
        <w:t xml:space="preserve"> / </w:t>
      </w:r>
      <w:r w:rsidR="00C961DA">
        <w:rPr>
          <w:b/>
          <w:bCs/>
        </w:rPr>
        <w:t xml:space="preserve">Parish Council Meeting – </w:t>
      </w:r>
      <w:r>
        <w:rPr>
          <w:b/>
          <w:bCs/>
        </w:rPr>
        <w:t>January 21, 2025</w:t>
      </w:r>
    </w:p>
    <w:p w14:paraId="2415811B" w14:textId="77777777" w:rsidR="007C1652" w:rsidRDefault="007C1652" w:rsidP="007C1652">
      <w:pPr>
        <w:spacing w:after="0" w:line="240" w:lineRule="auto"/>
      </w:pP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2880"/>
        <w:gridCol w:w="1584"/>
        <w:gridCol w:w="288"/>
        <w:gridCol w:w="2880"/>
        <w:gridCol w:w="1584"/>
      </w:tblGrid>
      <w:tr w:rsidR="007C1652" w:rsidRPr="007C1652" w14:paraId="6BD181E2" w14:textId="77777777" w:rsidTr="007C1652">
        <w:tc>
          <w:tcPr>
            <w:tcW w:w="2880" w:type="dxa"/>
          </w:tcPr>
          <w:p w14:paraId="412C52B9" w14:textId="33FFADF5" w:rsidR="007C1652" w:rsidRPr="007C1652" w:rsidRDefault="007C1652" w:rsidP="007C1652">
            <w:pPr>
              <w:rPr>
                <w:b/>
                <w:bCs/>
              </w:rPr>
            </w:pPr>
            <w:r w:rsidRPr="007C1652">
              <w:rPr>
                <w:b/>
                <w:bCs/>
              </w:rPr>
              <w:t>Attendees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C6E5900" w14:textId="3B2F3482" w:rsidR="007C1652" w:rsidRPr="007C1652" w:rsidRDefault="007C1652" w:rsidP="007C1652">
            <w:pPr>
              <w:jc w:val="center"/>
              <w:rPr>
                <w:b/>
                <w:bCs/>
              </w:rPr>
            </w:pPr>
            <w:r w:rsidRPr="007C1652">
              <w:rPr>
                <w:b/>
                <w:bCs/>
              </w:rPr>
              <w:t>Present?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00936" w14:textId="77777777" w:rsidR="007C1652" w:rsidRPr="007C1652" w:rsidRDefault="007C1652" w:rsidP="007C1652">
            <w:pPr>
              <w:rPr>
                <w:b/>
                <w:bCs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10592E05" w14:textId="46C0851F" w:rsidR="007C1652" w:rsidRPr="007C1652" w:rsidRDefault="007C1652" w:rsidP="007C1652">
            <w:pPr>
              <w:rPr>
                <w:b/>
                <w:bCs/>
              </w:rPr>
            </w:pPr>
            <w:r w:rsidRPr="007C1652">
              <w:rPr>
                <w:b/>
                <w:bCs/>
              </w:rPr>
              <w:t>Attendees</w:t>
            </w:r>
          </w:p>
        </w:tc>
        <w:tc>
          <w:tcPr>
            <w:tcW w:w="1584" w:type="dxa"/>
          </w:tcPr>
          <w:p w14:paraId="48472133" w14:textId="3302E939" w:rsidR="007C1652" w:rsidRPr="007C1652" w:rsidRDefault="007C1652" w:rsidP="007C1652">
            <w:pPr>
              <w:jc w:val="center"/>
              <w:rPr>
                <w:b/>
                <w:bCs/>
              </w:rPr>
            </w:pPr>
            <w:r w:rsidRPr="007C1652">
              <w:rPr>
                <w:b/>
                <w:bCs/>
              </w:rPr>
              <w:t>Present?</w:t>
            </w:r>
          </w:p>
        </w:tc>
      </w:tr>
      <w:tr w:rsidR="007C1652" w14:paraId="5AD54B8E" w14:textId="77777777" w:rsidTr="008B44F4">
        <w:tc>
          <w:tcPr>
            <w:tcW w:w="2880" w:type="dxa"/>
            <w:vAlign w:val="center"/>
          </w:tcPr>
          <w:p w14:paraId="5F70AB91" w14:textId="7D68649C" w:rsidR="007C1652" w:rsidRDefault="007C1652" w:rsidP="008B44F4">
            <w:r>
              <w:t>Eva Duran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0072CC3F" w14:textId="13BEA8B3" w:rsidR="007C1652" w:rsidRDefault="00D93033" w:rsidP="008B44F4">
            <w:pPr>
              <w:jc w:val="center"/>
            </w:pPr>
            <w:r>
              <w:t>Yes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2D1C9" w14:textId="77777777" w:rsidR="007C1652" w:rsidRDefault="007C1652" w:rsidP="008B44F4"/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F1235F2" w14:textId="630E6AE4" w:rsidR="007C1652" w:rsidRDefault="007C1652" w:rsidP="008B44F4">
            <w:r>
              <w:t>Deacon Mike Lane</w:t>
            </w:r>
          </w:p>
        </w:tc>
        <w:tc>
          <w:tcPr>
            <w:tcW w:w="1584" w:type="dxa"/>
            <w:vAlign w:val="center"/>
          </w:tcPr>
          <w:p w14:paraId="08AC7370" w14:textId="7FBDE667" w:rsidR="007C1652" w:rsidRDefault="00D93033" w:rsidP="008B44F4">
            <w:pPr>
              <w:jc w:val="center"/>
            </w:pPr>
            <w:r>
              <w:t>Yes</w:t>
            </w:r>
          </w:p>
        </w:tc>
      </w:tr>
      <w:tr w:rsidR="007C1652" w14:paraId="0F67407D" w14:textId="77777777" w:rsidTr="008B44F4">
        <w:tc>
          <w:tcPr>
            <w:tcW w:w="2880" w:type="dxa"/>
            <w:vAlign w:val="center"/>
          </w:tcPr>
          <w:p w14:paraId="43C06572" w14:textId="289F7993" w:rsidR="007C1652" w:rsidRDefault="007C1652" w:rsidP="008B44F4">
            <w:r>
              <w:t>Brett Guy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47009E9B" w14:textId="13547C50" w:rsidR="007C1652" w:rsidRDefault="00D93033" w:rsidP="008B44F4">
            <w:pPr>
              <w:jc w:val="center"/>
            </w:pPr>
            <w:r>
              <w:t>Yes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8ABBC" w14:textId="77777777" w:rsidR="007C1652" w:rsidRDefault="007C1652" w:rsidP="008B44F4"/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DD17220" w14:textId="3B278997" w:rsidR="007C1652" w:rsidRDefault="007C1652" w:rsidP="008B44F4">
            <w:r>
              <w:t>Kelly Maynard</w:t>
            </w:r>
          </w:p>
        </w:tc>
        <w:tc>
          <w:tcPr>
            <w:tcW w:w="1584" w:type="dxa"/>
            <w:vAlign w:val="center"/>
          </w:tcPr>
          <w:p w14:paraId="67144350" w14:textId="555FFC9D" w:rsidR="007C1652" w:rsidRDefault="00D93033" w:rsidP="008B44F4">
            <w:pPr>
              <w:jc w:val="center"/>
            </w:pPr>
            <w:r>
              <w:t>Yes</w:t>
            </w:r>
          </w:p>
        </w:tc>
      </w:tr>
      <w:tr w:rsidR="007C1652" w14:paraId="62A9E8A8" w14:textId="77777777" w:rsidTr="008B44F4">
        <w:tc>
          <w:tcPr>
            <w:tcW w:w="2880" w:type="dxa"/>
            <w:vAlign w:val="center"/>
          </w:tcPr>
          <w:p w14:paraId="0721A885" w14:textId="74A14ED6" w:rsidR="007C1652" w:rsidRDefault="007C1652" w:rsidP="008B44F4">
            <w:r>
              <w:t xml:space="preserve">Fr. Dan </w:t>
            </w:r>
            <w:proofErr w:type="spellStart"/>
            <w:r>
              <w:t>Haugan</w:t>
            </w:r>
            <w:proofErr w:type="spellEnd"/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14AB721" w14:textId="680E5FDD" w:rsidR="007C1652" w:rsidRDefault="00D93033" w:rsidP="008B44F4">
            <w:pPr>
              <w:jc w:val="center"/>
            </w:pPr>
            <w:r>
              <w:t>Yes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8BEC" w14:textId="77777777" w:rsidR="007C1652" w:rsidRDefault="007C1652" w:rsidP="008B44F4"/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A604B67" w14:textId="76D63ABF" w:rsidR="007C1652" w:rsidRDefault="007C1652" w:rsidP="008B44F4">
            <w:r>
              <w:t>Joe Peterson</w:t>
            </w:r>
          </w:p>
        </w:tc>
        <w:tc>
          <w:tcPr>
            <w:tcW w:w="1584" w:type="dxa"/>
            <w:vAlign w:val="center"/>
          </w:tcPr>
          <w:p w14:paraId="7B395CCC" w14:textId="708CC1B9" w:rsidR="007C1652" w:rsidRDefault="00D93033" w:rsidP="008B44F4">
            <w:pPr>
              <w:jc w:val="center"/>
            </w:pPr>
            <w:r>
              <w:t>Yes</w:t>
            </w:r>
          </w:p>
        </w:tc>
      </w:tr>
      <w:tr w:rsidR="007C1652" w14:paraId="07AF4BD9" w14:textId="77777777" w:rsidTr="008B44F4">
        <w:tc>
          <w:tcPr>
            <w:tcW w:w="2880" w:type="dxa"/>
            <w:vAlign w:val="center"/>
          </w:tcPr>
          <w:p w14:paraId="2B4F5A43" w14:textId="2921E419" w:rsidR="007C1652" w:rsidRDefault="007C1652" w:rsidP="008B44F4">
            <w:r>
              <w:t>David Jenkins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1E467F07" w14:textId="7E22C854" w:rsidR="007C1652" w:rsidRDefault="00D62185" w:rsidP="008B44F4">
            <w:pPr>
              <w:jc w:val="center"/>
            </w:pPr>
            <w:r>
              <w:t>Yes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F6B1F" w14:textId="77777777" w:rsidR="007C1652" w:rsidRDefault="007C1652" w:rsidP="008B44F4"/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183FC59" w14:textId="61A02F9A" w:rsidR="007C1652" w:rsidRDefault="007C1652" w:rsidP="008B44F4">
            <w:r>
              <w:t xml:space="preserve">Stephanie </w:t>
            </w:r>
            <w:proofErr w:type="spellStart"/>
            <w:r>
              <w:t>Soucheray-Papin</w:t>
            </w:r>
            <w:proofErr w:type="spellEnd"/>
          </w:p>
        </w:tc>
        <w:tc>
          <w:tcPr>
            <w:tcW w:w="1584" w:type="dxa"/>
            <w:vAlign w:val="center"/>
          </w:tcPr>
          <w:p w14:paraId="0F749CC8" w14:textId="39452318" w:rsidR="007C1652" w:rsidRDefault="00D93033" w:rsidP="008B44F4">
            <w:pPr>
              <w:jc w:val="center"/>
            </w:pPr>
            <w:r>
              <w:t>Yes</w:t>
            </w:r>
          </w:p>
        </w:tc>
      </w:tr>
      <w:tr w:rsidR="007C1652" w14:paraId="554911B7" w14:textId="77777777" w:rsidTr="008B44F4">
        <w:tc>
          <w:tcPr>
            <w:tcW w:w="2880" w:type="dxa"/>
            <w:vAlign w:val="center"/>
          </w:tcPr>
          <w:p w14:paraId="6AFD773B" w14:textId="25B6F62F" w:rsidR="007C1652" w:rsidRDefault="007C1652" w:rsidP="008B44F4">
            <w:r>
              <w:t xml:space="preserve">Anne </w:t>
            </w:r>
            <w:proofErr w:type="spellStart"/>
            <w:r>
              <w:t>Krisnik</w:t>
            </w:r>
            <w:proofErr w:type="spellEnd"/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18D40381" w14:textId="4DBEC97A" w:rsidR="007C1652" w:rsidRDefault="00D93033" w:rsidP="008B44F4">
            <w:pPr>
              <w:jc w:val="center"/>
            </w:pPr>
            <w:r>
              <w:t>No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C150B" w14:textId="77777777" w:rsidR="007C1652" w:rsidRDefault="007C1652" w:rsidP="008B44F4"/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8972317" w14:textId="616D503D" w:rsidR="007C1652" w:rsidRDefault="007C1652" w:rsidP="008B44F4"/>
        </w:tc>
        <w:tc>
          <w:tcPr>
            <w:tcW w:w="1584" w:type="dxa"/>
            <w:vAlign w:val="center"/>
          </w:tcPr>
          <w:p w14:paraId="7929D7CF" w14:textId="77777777" w:rsidR="007C1652" w:rsidRDefault="007C1652" w:rsidP="008B44F4">
            <w:pPr>
              <w:jc w:val="center"/>
            </w:pPr>
          </w:p>
        </w:tc>
      </w:tr>
    </w:tbl>
    <w:p w14:paraId="7889E218" w14:textId="77777777" w:rsidR="007C1652" w:rsidRDefault="007C1652" w:rsidP="007C1652">
      <w:pPr>
        <w:spacing w:after="0" w:line="240" w:lineRule="auto"/>
      </w:pPr>
    </w:p>
    <w:p w14:paraId="0FE316E4" w14:textId="0A9647E4" w:rsidR="00CB6634" w:rsidRDefault="00FB6057" w:rsidP="00CB6634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ExComm</w:t>
      </w:r>
      <w:proofErr w:type="spellEnd"/>
      <w:r>
        <w:rPr>
          <w:b/>
          <w:bCs/>
        </w:rPr>
        <w:t xml:space="preserve"> Session</w:t>
      </w:r>
    </w:p>
    <w:p w14:paraId="4590F928" w14:textId="6673E0B3" w:rsidR="005322A1" w:rsidRDefault="00D62185" w:rsidP="00D62185">
      <w:pPr>
        <w:pStyle w:val="ListParagraph"/>
        <w:numPr>
          <w:ilvl w:val="0"/>
          <w:numId w:val="17"/>
        </w:numPr>
        <w:spacing w:after="0" w:line="240" w:lineRule="auto"/>
      </w:pPr>
      <w:r>
        <w:t>Minister training</w:t>
      </w:r>
    </w:p>
    <w:p w14:paraId="7B745B8E" w14:textId="296E2A4C" w:rsidR="00D62185" w:rsidRDefault="00D62185" w:rsidP="00D62185">
      <w:pPr>
        <w:pStyle w:val="ListParagraph"/>
        <w:numPr>
          <w:ilvl w:val="1"/>
          <w:numId w:val="17"/>
        </w:numPr>
        <w:spacing w:after="0" w:line="240" w:lineRule="auto"/>
      </w:pPr>
      <w:r>
        <w:t>Recommend starting with ushers in conjunction</w:t>
      </w:r>
      <w:r w:rsidR="008B44F4">
        <w:t xml:space="preserve"> with</w:t>
      </w:r>
      <w:r>
        <w:t xml:space="preserve"> bringing</w:t>
      </w:r>
      <w:r w:rsidR="008B44F4">
        <w:t xml:space="preserve"> a</w:t>
      </w:r>
      <w:r>
        <w:t xml:space="preserve"> representation of monetary gifts up to the altar</w:t>
      </w:r>
    </w:p>
    <w:p w14:paraId="796A7D9A" w14:textId="5E4CCD24" w:rsidR="00D62185" w:rsidRDefault="00D62185" w:rsidP="00D62185">
      <w:pPr>
        <w:pStyle w:val="ListParagraph"/>
        <w:numPr>
          <w:ilvl w:val="1"/>
          <w:numId w:val="17"/>
        </w:numPr>
        <w:spacing w:after="0" w:line="240" w:lineRule="auto"/>
      </w:pPr>
      <w:r>
        <w:t xml:space="preserve">Can extend to other ministries </w:t>
      </w:r>
      <w:r w:rsidR="005C45EB">
        <w:t>next (e.g., lectors)</w:t>
      </w:r>
    </w:p>
    <w:p w14:paraId="594652D1" w14:textId="4366BBE3" w:rsidR="00D62185" w:rsidRDefault="00D62185" w:rsidP="00D62185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Gift bearers – have requested additional gift bearers via school </w:t>
      </w:r>
      <w:proofErr w:type="spellStart"/>
      <w:r>
        <w:t>comms</w:t>
      </w:r>
      <w:proofErr w:type="spellEnd"/>
      <w:r>
        <w:t xml:space="preserve"> channels.  5 families have responded </w:t>
      </w:r>
      <w:r w:rsidR="005C45EB">
        <w:t xml:space="preserve">affirmatively </w:t>
      </w:r>
      <w:r>
        <w:t>so far</w:t>
      </w:r>
    </w:p>
    <w:p w14:paraId="30135DA5" w14:textId="5FE84D11" w:rsidR="00D62185" w:rsidRDefault="00D62185" w:rsidP="00D62185">
      <w:pPr>
        <w:pStyle w:val="ListParagraph"/>
        <w:numPr>
          <w:ilvl w:val="0"/>
          <w:numId w:val="17"/>
        </w:numPr>
        <w:spacing w:after="0" w:line="240" w:lineRule="auto"/>
      </w:pPr>
      <w:r>
        <w:t>Parish leadership survey results</w:t>
      </w:r>
    </w:p>
    <w:p w14:paraId="7D9904FF" w14:textId="36DD959C" w:rsidR="00D62185" w:rsidRDefault="005B555B" w:rsidP="00D62185">
      <w:pPr>
        <w:pStyle w:val="ListParagraph"/>
        <w:numPr>
          <w:ilvl w:val="1"/>
          <w:numId w:val="17"/>
        </w:numPr>
        <w:spacing w:after="0" w:line="240" w:lineRule="auto"/>
      </w:pPr>
      <w:r>
        <w:t>How can we make sharing updates</w:t>
      </w:r>
      <w:r w:rsidR="00124084">
        <w:t xml:space="preserve"> w/</w:t>
      </w:r>
      <w:proofErr w:type="spellStart"/>
      <w:r w:rsidR="00124084">
        <w:t>ExComm</w:t>
      </w:r>
      <w:proofErr w:type="spellEnd"/>
      <w:r w:rsidR="00124084">
        <w:t xml:space="preserve"> </w:t>
      </w:r>
      <w:r>
        <w:t xml:space="preserve">is </w:t>
      </w:r>
      <w:r w:rsidR="00124084">
        <w:t>less intimidating?</w:t>
      </w:r>
    </w:p>
    <w:p w14:paraId="4396CEE8" w14:textId="22B2C292" w:rsidR="00124084" w:rsidRDefault="00124084" w:rsidP="00D62185">
      <w:pPr>
        <w:pStyle w:val="ListParagraph"/>
        <w:numPr>
          <w:ilvl w:val="1"/>
          <w:numId w:val="17"/>
        </w:numPr>
        <w:spacing w:after="0" w:line="240" w:lineRule="auto"/>
      </w:pPr>
      <w:r>
        <w:t xml:space="preserve">Have we moved too far from </w:t>
      </w:r>
      <w:proofErr w:type="spellStart"/>
      <w:r>
        <w:t>Lumenus</w:t>
      </w:r>
      <w:proofErr w:type="spellEnd"/>
      <w:r>
        <w:t>?  Opportunity to shore up processes and add more structure to what we are asking committees to do?</w:t>
      </w:r>
    </w:p>
    <w:p w14:paraId="52B140A3" w14:textId="6DC14A81" w:rsidR="00124084" w:rsidRDefault="00124084" w:rsidP="00124084">
      <w:pPr>
        <w:pStyle w:val="ListParagraph"/>
        <w:numPr>
          <w:ilvl w:val="0"/>
          <w:numId w:val="17"/>
        </w:numPr>
        <w:spacing w:after="0" w:line="240" w:lineRule="auto"/>
      </w:pPr>
      <w:proofErr w:type="spellStart"/>
      <w:r>
        <w:t>Dropbox</w:t>
      </w:r>
      <w:proofErr w:type="spellEnd"/>
      <w:r>
        <w:t xml:space="preserve"> – have reminded recorders for the different ministry councils to leave minutes in the newly created </w:t>
      </w:r>
      <w:proofErr w:type="spellStart"/>
      <w:r>
        <w:t>Dropbox</w:t>
      </w:r>
      <w:proofErr w:type="spellEnd"/>
    </w:p>
    <w:p w14:paraId="2B1C2224" w14:textId="77777777" w:rsidR="005322A1" w:rsidRDefault="005322A1" w:rsidP="005322A1">
      <w:pPr>
        <w:spacing w:after="0" w:line="240" w:lineRule="auto"/>
      </w:pPr>
    </w:p>
    <w:p w14:paraId="6F018C89" w14:textId="4D4E7E0D" w:rsidR="00774639" w:rsidRDefault="00774639" w:rsidP="005322A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Parish / </w:t>
      </w:r>
      <w:proofErr w:type="spellStart"/>
      <w:r>
        <w:rPr>
          <w:b/>
          <w:bCs/>
        </w:rPr>
        <w:t>ExComm</w:t>
      </w:r>
      <w:proofErr w:type="spellEnd"/>
      <w:r>
        <w:rPr>
          <w:b/>
          <w:bCs/>
        </w:rPr>
        <w:t xml:space="preserve"> updates</w:t>
      </w:r>
    </w:p>
    <w:p w14:paraId="49B48B26" w14:textId="53F4B0FF" w:rsidR="00774639" w:rsidRDefault="00774639" w:rsidP="00774639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Wine event: good </w:t>
      </w:r>
      <w:r w:rsidR="005B555B">
        <w:t>sign-up numbers</w:t>
      </w:r>
      <w:r>
        <w:t xml:space="preserve"> so far.  Sign-up cut-off coming up soon</w:t>
      </w:r>
    </w:p>
    <w:p w14:paraId="5D6E26B5" w14:textId="2E8CC1F0" w:rsidR="00774639" w:rsidRDefault="00565C15" w:rsidP="00774639">
      <w:pPr>
        <w:pStyle w:val="ListParagraph"/>
        <w:numPr>
          <w:ilvl w:val="0"/>
          <w:numId w:val="18"/>
        </w:numPr>
        <w:spacing w:after="0" w:line="240" w:lineRule="auto"/>
      </w:pPr>
      <w:proofErr w:type="spellStart"/>
      <w:r>
        <w:t>Ars</w:t>
      </w:r>
      <w:proofErr w:type="spellEnd"/>
      <w:r>
        <w:t xml:space="preserve"> </w:t>
      </w:r>
      <w:proofErr w:type="spellStart"/>
      <w:r>
        <w:t>Celebrandi</w:t>
      </w:r>
      <w:proofErr w:type="spellEnd"/>
      <w:r w:rsidR="00774639">
        <w:t xml:space="preserve">: let Kelly know if there is interest in </w:t>
      </w:r>
      <w:r>
        <w:t>the February or March events</w:t>
      </w:r>
    </w:p>
    <w:p w14:paraId="31600DC0" w14:textId="188FAF80" w:rsidR="00565C15" w:rsidRDefault="0069299E" w:rsidP="00774639">
      <w:pPr>
        <w:pStyle w:val="ListParagraph"/>
        <w:numPr>
          <w:ilvl w:val="0"/>
          <w:numId w:val="18"/>
        </w:numPr>
        <w:spacing w:after="0" w:line="240" w:lineRule="auto"/>
      </w:pPr>
      <w:r>
        <w:t>Looking for Ministry Councils</w:t>
      </w:r>
      <w:r w:rsidR="00565C15">
        <w:t xml:space="preserve"> to support Stations of the Cross dates</w:t>
      </w:r>
    </w:p>
    <w:p w14:paraId="6F8EC1BD" w14:textId="11210C6B" w:rsidR="00565C15" w:rsidRPr="00774639" w:rsidRDefault="00565C15" w:rsidP="00774639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Will review leadership survey results at a future meeting after </w:t>
      </w:r>
      <w:proofErr w:type="spellStart"/>
      <w:r>
        <w:t>ExComm</w:t>
      </w:r>
      <w:proofErr w:type="spellEnd"/>
      <w:r>
        <w:t xml:space="preserve"> has time to digest</w:t>
      </w:r>
    </w:p>
    <w:p w14:paraId="2C37703E" w14:textId="77777777" w:rsidR="00774639" w:rsidRDefault="00774639" w:rsidP="005322A1">
      <w:pPr>
        <w:spacing w:after="0" w:line="240" w:lineRule="auto"/>
        <w:rPr>
          <w:b/>
          <w:bCs/>
        </w:rPr>
      </w:pPr>
    </w:p>
    <w:p w14:paraId="6E556B2C" w14:textId="29794421" w:rsidR="005322A1" w:rsidRDefault="005322A1" w:rsidP="005322A1">
      <w:pPr>
        <w:spacing w:after="0" w:line="240" w:lineRule="auto"/>
      </w:pPr>
      <w:r>
        <w:rPr>
          <w:b/>
          <w:bCs/>
        </w:rPr>
        <w:t>Parish Council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5322A1" w14:paraId="25520E1F" w14:textId="77777777" w:rsidTr="00565C15">
        <w:tc>
          <w:tcPr>
            <w:tcW w:w="2605" w:type="dxa"/>
          </w:tcPr>
          <w:p w14:paraId="6B267F2C" w14:textId="354E53F0" w:rsidR="005322A1" w:rsidRPr="005322A1" w:rsidRDefault="005322A1" w:rsidP="005322A1">
            <w:pPr>
              <w:rPr>
                <w:b/>
                <w:bCs/>
              </w:rPr>
            </w:pPr>
            <w:r w:rsidRPr="005322A1">
              <w:rPr>
                <w:b/>
                <w:bCs/>
              </w:rPr>
              <w:t>Council</w:t>
            </w:r>
          </w:p>
        </w:tc>
        <w:tc>
          <w:tcPr>
            <w:tcW w:w="6745" w:type="dxa"/>
          </w:tcPr>
          <w:p w14:paraId="3EE9AB01" w14:textId="5B29BF80" w:rsidR="005322A1" w:rsidRPr="005322A1" w:rsidRDefault="005322A1" w:rsidP="005322A1">
            <w:pPr>
              <w:rPr>
                <w:b/>
                <w:bCs/>
              </w:rPr>
            </w:pPr>
            <w:r w:rsidRPr="005322A1">
              <w:rPr>
                <w:b/>
                <w:bCs/>
              </w:rPr>
              <w:t>Updates</w:t>
            </w:r>
          </w:p>
        </w:tc>
      </w:tr>
      <w:tr w:rsidR="005322A1" w14:paraId="710D0962" w14:textId="77777777" w:rsidTr="00565C15">
        <w:tc>
          <w:tcPr>
            <w:tcW w:w="2605" w:type="dxa"/>
          </w:tcPr>
          <w:p w14:paraId="57F47D0C" w14:textId="55FA780B" w:rsidR="005322A1" w:rsidRDefault="00AA67AE" w:rsidP="005322A1">
            <w:r>
              <w:t xml:space="preserve">Care, Support, </w:t>
            </w:r>
            <w:r w:rsidR="005322A1">
              <w:t>Justice</w:t>
            </w:r>
          </w:p>
        </w:tc>
        <w:tc>
          <w:tcPr>
            <w:tcW w:w="6745" w:type="dxa"/>
          </w:tcPr>
          <w:p w14:paraId="4F445FA7" w14:textId="23665BFF" w:rsidR="00116C6B" w:rsidRDefault="00565C15" w:rsidP="007D05AA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>Member of Mental Health committee gave update on activities.  Living Compass in</w:t>
            </w:r>
            <w:r w:rsidR="0069299E">
              <w:t xml:space="preserve">itiative reaching out to parish and </w:t>
            </w:r>
            <w:r>
              <w:t xml:space="preserve">school groups to assess interest &amp; how to accommodate needs.  Looking at start date in early March. </w:t>
            </w:r>
          </w:p>
          <w:p w14:paraId="78B215BA" w14:textId="4FDE6BD6" w:rsidR="00565C15" w:rsidRDefault="00F43592" w:rsidP="007D05AA">
            <w:pPr>
              <w:pStyle w:val="ListParagraph"/>
              <w:numPr>
                <w:ilvl w:val="0"/>
                <w:numId w:val="16"/>
              </w:numPr>
              <w:ind w:left="346"/>
            </w:pPr>
            <w:proofErr w:type="spellStart"/>
            <w:r>
              <w:t>JustFaith</w:t>
            </w:r>
            <w:proofErr w:type="spellEnd"/>
            <w:r>
              <w:t xml:space="preserve"> I</w:t>
            </w:r>
            <w:r w:rsidR="00565C15">
              <w:t xml:space="preserve">ndigenous </w:t>
            </w:r>
            <w:r>
              <w:t xml:space="preserve">communities </w:t>
            </w:r>
            <w:bookmarkStart w:id="0" w:name="_GoBack"/>
            <w:bookmarkEnd w:id="0"/>
            <w:r w:rsidR="00565C15">
              <w:t>event upcoming</w:t>
            </w:r>
          </w:p>
          <w:p w14:paraId="596E21A1" w14:textId="0B50C719" w:rsidR="00565C15" w:rsidRDefault="00565C15" w:rsidP="007D05AA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>Ministry fair coming up in February</w:t>
            </w:r>
          </w:p>
        </w:tc>
      </w:tr>
      <w:tr w:rsidR="005322A1" w14:paraId="11BE10FB" w14:textId="77777777" w:rsidTr="00565C15">
        <w:tc>
          <w:tcPr>
            <w:tcW w:w="2605" w:type="dxa"/>
          </w:tcPr>
          <w:p w14:paraId="1C2DE406" w14:textId="066CB473" w:rsidR="005322A1" w:rsidRDefault="00565C15" w:rsidP="005322A1">
            <w:r>
              <w:t xml:space="preserve">Discipleship &amp; </w:t>
            </w:r>
            <w:r w:rsidR="005322A1">
              <w:t>Parish Life</w:t>
            </w:r>
          </w:p>
        </w:tc>
        <w:tc>
          <w:tcPr>
            <w:tcW w:w="6745" w:type="dxa"/>
          </w:tcPr>
          <w:p w14:paraId="2791718E" w14:textId="5D5A10BB" w:rsidR="00116C6B" w:rsidRDefault="00565C15" w:rsidP="007D05AA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>No updates</w:t>
            </w:r>
          </w:p>
        </w:tc>
      </w:tr>
      <w:tr w:rsidR="005322A1" w14:paraId="12D92C0C" w14:textId="77777777" w:rsidTr="00565C15">
        <w:tc>
          <w:tcPr>
            <w:tcW w:w="2605" w:type="dxa"/>
          </w:tcPr>
          <w:p w14:paraId="439E3018" w14:textId="50A306C1" w:rsidR="005322A1" w:rsidRDefault="005322A1" w:rsidP="005322A1">
            <w:r>
              <w:t>Faith Formation</w:t>
            </w:r>
          </w:p>
        </w:tc>
        <w:tc>
          <w:tcPr>
            <w:tcW w:w="6745" w:type="dxa"/>
          </w:tcPr>
          <w:p w14:paraId="26A7EA6D" w14:textId="35F12C09" w:rsidR="005322A1" w:rsidRDefault="00C9480C" w:rsidP="007D05AA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>No updates</w:t>
            </w:r>
          </w:p>
        </w:tc>
      </w:tr>
      <w:tr w:rsidR="005322A1" w14:paraId="74E42430" w14:textId="77777777" w:rsidTr="00565C15">
        <w:trPr>
          <w:trHeight w:val="233"/>
        </w:trPr>
        <w:tc>
          <w:tcPr>
            <w:tcW w:w="2605" w:type="dxa"/>
          </w:tcPr>
          <w:p w14:paraId="307B70AC" w14:textId="7019956E" w:rsidR="005322A1" w:rsidRDefault="005322A1" w:rsidP="005322A1">
            <w:r>
              <w:t>Finance</w:t>
            </w:r>
          </w:p>
        </w:tc>
        <w:tc>
          <w:tcPr>
            <w:tcW w:w="6745" w:type="dxa"/>
          </w:tcPr>
          <w:p w14:paraId="0A9E45B0" w14:textId="44C25B8D" w:rsidR="005322A1" w:rsidRDefault="00D63E40" w:rsidP="007D05AA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>Reviewed parish financial position &amp; discussed collections, which have been down on sustained basis.  Lot of discussion about how to increase Mass attendance and giving</w:t>
            </w:r>
          </w:p>
        </w:tc>
      </w:tr>
      <w:tr w:rsidR="005322A1" w14:paraId="4C90B102" w14:textId="77777777" w:rsidTr="00565C15">
        <w:tc>
          <w:tcPr>
            <w:tcW w:w="2605" w:type="dxa"/>
          </w:tcPr>
          <w:p w14:paraId="6F4D2891" w14:textId="0D851955" w:rsidR="005322A1" w:rsidRDefault="005322A1" w:rsidP="005322A1">
            <w:r>
              <w:t>School</w:t>
            </w:r>
          </w:p>
        </w:tc>
        <w:tc>
          <w:tcPr>
            <w:tcW w:w="6745" w:type="dxa"/>
          </w:tcPr>
          <w:p w14:paraId="67632705" w14:textId="77777777" w:rsidR="001C6CBB" w:rsidRDefault="00565C15" w:rsidP="007D05AA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>End of Year ask campaign already at $56K YTD vs. $40K LY</w:t>
            </w:r>
          </w:p>
          <w:p w14:paraId="61B0567C" w14:textId="77777777" w:rsidR="00565C15" w:rsidRDefault="00565C15" w:rsidP="007D05AA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>Enrollment back to prior levels</w:t>
            </w:r>
          </w:p>
          <w:p w14:paraId="4814A3AC" w14:textId="77777777" w:rsidR="00D63E40" w:rsidRDefault="00565C15" w:rsidP="00D63E40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>Pancake breakfast on Sunday, and will use to advertise the School ministry council</w:t>
            </w:r>
            <w:r w:rsidR="00D63E40">
              <w:t xml:space="preserve">.  Will also try to do advance sign-ups </w:t>
            </w:r>
            <w:r w:rsidR="00D63E40">
              <w:lastRenderedPageBreak/>
              <w:t>for the Doing Good Together event</w:t>
            </w:r>
          </w:p>
          <w:p w14:paraId="7E1A2880" w14:textId="28E4142A" w:rsidR="00D63E40" w:rsidRDefault="00D63E40" w:rsidP="00D63E40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>Middle School movie / dance night in the works &amp; exploring whether they can use Urban Academy</w:t>
            </w:r>
            <w:r w:rsidR="0069299E">
              <w:t xml:space="preserve"> as a venue</w:t>
            </w:r>
          </w:p>
        </w:tc>
      </w:tr>
      <w:tr w:rsidR="005322A1" w14:paraId="5DB80798" w14:textId="77777777" w:rsidTr="00565C15">
        <w:tc>
          <w:tcPr>
            <w:tcW w:w="2605" w:type="dxa"/>
          </w:tcPr>
          <w:p w14:paraId="65E372F7" w14:textId="790BD480" w:rsidR="005322A1" w:rsidRDefault="005322A1" w:rsidP="005322A1">
            <w:r>
              <w:lastRenderedPageBreak/>
              <w:t>Worship</w:t>
            </w:r>
          </w:p>
        </w:tc>
        <w:tc>
          <w:tcPr>
            <w:tcW w:w="6745" w:type="dxa"/>
          </w:tcPr>
          <w:p w14:paraId="160B6137" w14:textId="7CD1E3E8" w:rsidR="00D63E40" w:rsidRDefault="00D63E40" w:rsidP="00D63E40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>Finalizing survey to previous minis</w:t>
            </w:r>
            <w:r w:rsidR="00C37E9C">
              <w:t>ters to understand why they stopped volunteering in this capacity</w:t>
            </w:r>
          </w:p>
          <w:p w14:paraId="6E5CD9F7" w14:textId="77777777" w:rsidR="00D63E40" w:rsidRDefault="00D63E40" w:rsidP="00D63E40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>Looking to put something into bulletin w/QR code to help drive recruitment</w:t>
            </w:r>
          </w:p>
          <w:p w14:paraId="61BE5461" w14:textId="7E465956" w:rsidR="00D63E40" w:rsidRDefault="00D63E40" w:rsidP="00D63E40">
            <w:pPr>
              <w:pStyle w:val="ListParagraph"/>
              <w:numPr>
                <w:ilvl w:val="0"/>
                <w:numId w:val="16"/>
              </w:numPr>
              <w:ind w:left="346"/>
            </w:pPr>
            <w:r>
              <w:t xml:space="preserve">Per Max, we might be able to leverage Sarah </w:t>
            </w:r>
            <w:proofErr w:type="spellStart"/>
            <w:r>
              <w:t>Haider</w:t>
            </w:r>
            <w:proofErr w:type="spellEnd"/>
            <w:r>
              <w:t xml:space="preserve"> to help drive volunteering for parish (already does this work for school).  Opportunity to centralize this work versus having each council/committee handle this</w:t>
            </w:r>
          </w:p>
        </w:tc>
      </w:tr>
    </w:tbl>
    <w:p w14:paraId="5F06AE1C" w14:textId="77777777" w:rsidR="005322A1" w:rsidRPr="005322A1" w:rsidRDefault="005322A1" w:rsidP="005322A1">
      <w:pPr>
        <w:spacing w:after="0" w:line="240" w:lineRule="auto"/>
      </w:pPr>
    </w:p>
    <w:sectPr w:rsidR="005322A1" w:rsidRPr="00532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795"/>
    <w:multiLevelType w:val="hybridMultilevel"/>
    <w:tmpl w:val="109CB08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8722117"/>
    <w:multiLevelType w:val="hybridMultilevel"/>
    <w:tmpl w:val="2CF4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C4261"/>
    <w:multiLevelType w:val="hybridMultilevel"/>
    <w:tmpl w:val="A920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117B7"/>
    <w:multiLevelType w:val="hybridMultilevel"/>
    <w:tmpl w:val="0C8A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B4C70"/>
    <w:multiLevelType w:val="hybridMultilevel"/>
    <w:tmpl w:val="4400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A76FF"/>
    <w:multiLevelType w:val="hybridMultilevel"/>
    <w:tmpl w:val="BD2C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A1E77"/>
    <w:multiLevelType w:val="hybridMultilevel"/>
    <w:tmpl w:val="E602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16C3A"/>
    <w:multiLevelType w:val="hybridMultilevel"/>
    <w:tmpl w:val="21FE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C0595"/>
    <w:multiLevelType w:val="hybridMultilevel"/>
    <w:tmpl w:val="B688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850C4"/>
    <w:multiLevelType w:val="hybridMultilevel"/>
    <w:tmpl w:val="7AC6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B2E8C"/>
    <w:multiLevelType w:val="hybridMultilevel"/>
    <w:tmpl w:val="E3C8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321A2"/>
    <w:multiLevelType w:val="hybridMultilevel"/>
    <w:tmpl w:val="113A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37362"/>
    <w:multiLevelType w:val="hybridMultilevel"/>
    <w:tmpl w:val="A770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824E0"/>
    <w:multiLevelType w:val="hybridMultilevel"/>
    <w:tmpl w:val="F8B8586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5BC84E4F"/>
    <w:multiLevelType w:val="hybridMultilevel"/>
    <w:tmpl w:val="D736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647D0"/>
    <w:multiLevelType w:val="hybridMultilevel"/>
    <w:tmpl w:val="1138D77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65D40BD"/>
    <w:multiLevelType w:val="hybridMultilevel"/>
    <w:tmpl w:val="A0E0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74345"/>
    <w:multiLevelType w:val="hybridMultilevel"/>
    <w:tmpl w:val="FBCA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2"/>
  </w:num>
  <w:num w:numId="10">
    <w:abstractNumId w:val="14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1"/>
  </w:num>
  <w:num w:numId="16">
    <w:abstractNumId w:val="8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E1"/>
    <w:rsid w:val="00044568"/>
    <w:rsid w:val="000856A4"/>
    <w:rsid w:val="00095243"/>
    <w:rsid w:val="000B275E"/>
    <w:rsid w:val="000E6ED3"/>
    <w:rsid w:val="000F7F4A"/>
    <w:rsid w:val="00116C6B"/>
    <w:rsid w:val="00124084"/>
    <w:rsid w:val="00126B8A"/>
    <w:rsid w:val="00183972"/>
    <w:rsid w:val="001861CC"/>
    <w:rsid w:val="001C6CBB"/>
    <w:rsid w:val="00211542"/>
    <w:rsid w:val="0028758B"/>
    <w:rsid w:val="00292BBE"/>
    <w:rsid w:val="002A2C65"/>
    <w:rsid w:val="002E5FBF"/>
    <w:rsid w:val="00302838"/>
    <w:rsid w:val="0036696A"/>
    <w:rsid w:val="003D051C"/>
    <w:rsid w:val="0045287C"/>
    <w:rsid w:val="00452EB8"/>
    <w:rsid w:val="00464B6C"/>
    <w:rsid w:val="004B5B3A"/>
    <w:rsid w:val="00527B31"/>
    <w:rsid w:val="005322A1"/>
    <w:rsid w:val="00565C15"/>
    <w:rsid w:val="005B555B"/>
    <w:rsid w:val="005C45EB"/>
    <w:rsid w:val="0069299E"/>
    <w:rsid w:val="00774639"/>
    <w:rsid w:val="007B044C"/>
    <w:rsid w:val="007C1652"/>
    <w:rsid w:val="007D05AA"/>
    <w:rsid w:val="00850FE2"/>
    <w:rsid w:val="00891C30"/>
    <w:rsid w:val="008B44F4"/>
    <w:rsid w:val="008E5C5B"/>
    <w:rsid w:val="00937250"/>
    <w:rsid w:val="00993209"/>
    <w:rsid w:val="009B294D"/>
    <w:rsid w:val="009C5668"/>
    <w:rsid w:val="009D30EA"/>
    <w:rsid w:val="00A23540"/>
    <w:rsid w:val="00A70055"/>
    <w:rsid w:val="00AA67AE"/>
    <w:rsid w:val="00AE14F4"/>
    <w:rsid w:val="00AE4E7E"/>
    <w:rsid w:val="00BA05B4"/>
    <w:rsid w:val="00BB68E1"/>
    <w:rsid w:val="00BC6F9F"/>
    <w:rsid w:val="00BE3473"/>
    <w:rsid w:val="00C30FE6"/>
    <w:rsid w:val="00C33C3D"/>
    <w:rsid w:val="00C37E9C"/>
    <w:rsid w:val="00C81C92"/>
    <w:rsid w:val="00C82CA8"/>
    <w:rsid w:val="00C9480C"/>
    <w:rsid w:val="00C961DA"/>
    <w:rsid w:val="00CA6F4A"/>
    <w:rsid w:val="00CB06E3"/>
    <w:rsid w:val="00CB6634"/>
    <w:rsid w:val="00CC2868"/>
    <w:rsid w:val="00D2519B"/>
    <w:rsid w:val="00D62185"/>
    <w:rsid w:val="00D63E40"/>
    <w:rsid w:val="00D93033"/>
    <w:rsid w:val="00DB2DA7"/>
    <w:rsid w:val="00DF5212"/>
    <w:rsid w:val="00E70E64"/>
    <w:rsid w:val="00E8084F"/>
    <w:rsid w:val="00F07DCA"/>
    <w:rsid w:val="00F43592"/>
    <w:rsid w:val="00FB6057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949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8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8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8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8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8E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8E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8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8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8E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8E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8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8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8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8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8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8E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8E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8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8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8E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8E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8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E35E06-667F-6343-9B16-E98FB22C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395</Words>
  <Characters>2255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 Corporation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Brett.Guy</dc:creator>
  <cp:keywords/>
  <dc:description/>
  <cp:lastModifiedBy>Brett Guy</cp:lastModifiedBy>
  <cp:revision>12</cp:revision>
  <dcterms:created xsi:type="dcterms:W3CDTF">2025-01-22T01:11:00Z</dcterms:created>
  <dcterms:modified xsi:type="dcterms:W3CDTF">2025-01-30T01:52:00Z</dcterms:modified>
</cp:coreProperties>
</file>