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</w:t>
      </w:r>
      <w:r w:rsidDel="00000000" w:rsidR="00000000" w:rsidRPr="00000000">
        <w:rPr/>
        <w:drawing>
          <wp:inline distB="0" distT="0" distL="114300" distR="114300">
            <wp:extent cx="1765300" cy="90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Fourth Grade School Supply List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2025-2026</w:t>
      </w:r>
    </w:p>
    <w:p w:rsidR="00000000" w:rsidDel="00000000" w:rsidP="00000000" w:rsidRDefault="00000000" w:rsidRPr="00000000" w14:paraId="00000005">
      <w:pPr>
        <w:widowControl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1 - package of Crayola Classic Markers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1 – box Crayola colored pencils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4 – glue sticks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Fiskar brand scissors (pointed)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24 – #2 pencils (not mechanical-replace as needed)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4 – red pens for correcting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4 – black felt tip pens (not permanent)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1 – large pink pearl type eraser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ruler – 12 inch standard/metric markings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pencil Case – soft sided with zipper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1 large box of Kleenex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students with last names A-M - 1 roll paper towels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1440" w:hanging="360"/>
        <w:rPr>
          <w:rFonts w:ascii="Avenir" w:cs="Avenir" w:eastAsia="Avenir" w:hAnsi="Avenir"/>
          <w:sz w:val="28"/>
          <w:szCs w:val="28"/>
          <w:u w:val="none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students with last names N-Z - I container of Clorox wipes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backpack or school book bag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water bottle labeled with your child’s name</w:t>
      </w:r>
    </w:p>
    <w:p w:rsidR="00000000" w:rsidDel="00000000" w:rsidP="00000000" w:rsidRDefault="00000000" w:rsidRPr="00000000" w14:paraId="00000015">
      <w:pPr>
        <w:widowControl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center"/>
        <w:rPr/>
      </w:pPr>
      <w:r w:rsidDel="00000000" w:rsidR="00000000" w:rsidRPr="00000000">
        <w:rPr>
          <w:rFonts w:ascii="Avenir" w:cs="Avenir" w:eastAsia="Avenir" w:hAnsi="Avenir"/>
          <w:rtl w:val="0"/>
        </w:rPr>
        <w:t xml:space="preserve">No Trapper Keepers and please mark school supplies with your child’'s name.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